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04B5" w:rsidRPr="00AB1D5D" w:rsidRDefault="00001D8F" w:rsidP="00AB1D5D">
      <w:pPr>
        <w:pStyle w:val="Textbody"/>
        <w:widowControl w:val="0"/>
        <w:spacing w:line="460" w:lineRule="exact"/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r w:rsidRPr="00AB1D5D">
        <w:rPr>
          <w:rFonts w:ascii="標楷體" w:eastAsia="標楷體" w:hAnsi="標楷體"/>
          <w:color w:val="000000"/>
          <w:sz w:val="40"/>
          <w:szCs w:val="40"/>
        </w:rPr>
        <w:t>新竹科學工業園區特定區</w:t>
      </w:r>
      <w:r w:rsidRPr="00AB1D5D">
        <w:rPr>
          <w:rFonts w:ascii="標楷體" w:eastAsia="標楷體" w:hAnsi="標楷體"/>
          <w:color w:val="000000"/>
          <w:sz w:val="40"/>
          <w:szCs w:val="40"/>
        </w:rPr>
        <w:t>(</w:t>
      </w:r>
      <w:r w:rsidRPr="00AB1D5D">
        <w:rPr>
          <w:rFonts w:ascii="標楷體" w:eastAsia="標楷體" w:hAnsi="標楷體"/>
          <w:color w:val="000000"/>
          <w:sz w:val="40"/>
          <w:szCs w:val="40"/>
        </w:rPr>
        <w:t>新竹市部分</w:t>
      </w:r>
      <w:r w:rsidRPr="00AB1D5D">
        <w:rPr>
          <w:rFonts w:ascii="標楷體" w:eastAsia="標楷體" w:hAnsi="標楷體"/>
          <w:color w:val="000000"/>
          <w:sz w:val="40"/>
          <w:szCs w:val="40"/>
        </w:rPr>
        <w:t>)</w:t>
      </w:r>
      <w:r w:rsidR="003B7C02" w:rsidRPr="00AB1D5D">
        <w:rPr>
          <w:rFonts w:ascii="標楷體" w:eastAsia="標楷體" w:hAnsi="標楷體" w:hint="eastAsia"/>
          <w:sz w:val="40"/>
          <w:szCs w:val="40"/>
        </w:rPr>
        <w:t>建築預審申請案審議要點</w:t>
      </w:r>
    </w:p>
    <w:bookmarkEnd w:id="0"/>
    <w:p w:rsidR="00C204B5" w:rsidRPr="00AB1D5D" w:rsidRDefault="00001D8F" w:rsidP="00AB1D5D">
      <w:pPr>
        <w:pStyle w:val="Textbody"/>
        <w:spacing w:line="360" w:lineRule="exact"/>
        <w:jc w:val="right"/>
        <w:rPr>
          <w:rFonts w:ascii="標楷體" w:eastAsia="標楷體" w:hAnsi="標楷體"/>
        </w:rPr>
      </w:pP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中華民國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104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年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2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月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9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日科技部新竹科學工業園區</w:t>
      </w:r>
      <w:proofErr w:type="gramStart"/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管理局竹建字第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1040004071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號函訂定</w:t>
      </w:r>
      <w:proofErr w:type="gramEnd"/>
    </w:p>
    <w:p w:rsidR="00C204B5" w:rsidRPr="00AB1D5D" w:rsidRDefault="00001D8F" w:rsidP="00AB1D5D">
      <w:pPr>
        <w:pStyle w:val="Textbody"/>
        <w:spacing w:line="360" w:lineRule="exact"/>
        <w:jc w:val="right"/>
        <w:rPr>
          <w:rFonts w:ascii="標楷體" w:eastAsia="標楷體" w:hAnsi="標楷體"/>
          <w:bCs/>
          <w:color w:val="000000"/>
          <w:sz w:val="20"/>
          <w:szCs w:val="20"/>
        </w:rPr>
      </w:pP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中華民國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109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年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1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月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8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日科技部新竹科學園區</w:t>
      </w:r>
      <w:proofErr w:type="gramStart"/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管理局竹建字</w:t>
      </w:r>
      <w:proofErr w:type="gramEnd"/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第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1090001229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號函修正</w:t>
      </w:r>
    </w:p>
    <w:p w:rsidR="00C204B5" w:rsidRPr="00AB1D5D" w:rsidRDefault="00001D8F" w:rsidP="00AB1D5D">
      <w:pPr>
        <w:pStyle w:val="Textbody"/>
        <w:spacing w:line="360" w:lineRule="exact"/>
        <w:jc w:val="right"/>
        <w:rPr>
          <w:rFonts w:ascii="標楷體" w:eastAsia="標楷體" w:hAnsi="標楷體"/>
        </w:rPr>
      </w:pP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中華民國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111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年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8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月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15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日國家科學及技術委員會新竹科學園區</w:t>
      </w:r>
      <w:proofErr w:type="gramStart"/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管理局竹建字</w:t>
      </w:r>
      <w:proofErr w:type="gramEnd"/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第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1110026913</w:t>
      </w:r>
      <w:r w:rsidRPr="00AB1D5D">
        <w:rPr>
          <w:rFonts w:ascii="標楷體" w:eastAsia="標楷體" w:hAnsi="標楷體"/>
          <w:bCs/>
          <w:color w:val="000000"/>
          <w:sz w:val="20"/>
          <w:szCs w:val="20"/>
        </w:rPr>
        <w:t>號函修正</w:t>
      </w:r>
    </w:p>
    <w:p w:rsidR="00C204B5" w:rsidRPr="00AB1D5D" w:rsidRDefault="00001D8F" w:rsidP="00AB1D5D">
      <w:pPr>
        <w:pStyle w:val="Textbody"/>
        <w:spacing w:before="100" w:after="100" w:line="460" w:lineRule="exact"/>
        <w:ind w:left="56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一、國家科學及技術委員會新竹科學園區管理局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以下簡稱科管局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為建構新竹科學園區整體優質環境，促進土地合理及有效利用，提升並形塑高科技產業園區之建築景觀風格、生態環保、公共安全與綠建築節能，依「擬定新竹科學工業園區特定區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新竹市部分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不含「高峰里保護區檢討變更保留案」範圍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細部計畫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含都市計畫圖重製檢討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第一階段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下稱本計畫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」都市設計準則第三條規定，特訂定本要點。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56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二、科管局依據本要點內容及參照有關法令，得就本計畫區內之申請建築案件進行預審作業，並得成立審議委員會進行審議。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三、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申請建築之建築與景觀規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劃設計，以下列各款為原則。但經科管局審議通過者，不在此限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proofErr w:type="gramStart"/>
      <w:r w:rsidRPr="00AB1D5D">
        <w:rPr>
          <w:rFonts w:ascii="標楷體" w:eastAsia="標楷體" w:hAnsi="標楷體"/>
          <w:color w:val="000000"/>
          <w:sz w:val="28"/>
          <w:szCs w:val="28"/>
        </w:rPr>
        <w:t>一</w:t>
      </w:r>
      <w:proofErr w:type="gramEnd"/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建築立面設計：建築物面臨主要道路、公園、綠地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帶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側，建築物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立面應加強細部處理，以符合視覺景觀多樣化。建築立面造型之處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理，應尊重建築</w:t>
      </w:r>
      <w:proofErr w:type="gramStart"/>
      <w:r w:rsidRPr="00AB1D5D">
        <w:rPr>
          <w:rFonts w:ascii="標楷體" w:eastAsia="標楷體" w:hAnsi="標楷體"/>
          <w:color w:val="000000"/>
          <w:sz w:val="28"/>
          <w:szCs w:val="28"/>
        </w:rPr>
        <w:t>群體間的協調</w:t>
      </w:r>
      <w:proofErr w:type="gramEnd"/>
      <w:r w:rsidRPr="00AB1D5D">
        <w:rPr>
          <w:rFonts w:ascii="標楷體" w:eastAsia="標楷體" w:hAnsi="標楷體"/>
          <w:color w:val="000000"/>
          <w:sz w:val="28"/>
          <w:szCs w:val="28"/>
        </w:rPr>
        <w:t>性。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二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立面附加物：建築物因工業生產或其他需求所需安置於建築體之立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面附加物如管線、設備、壁面標示等應與建築物作整體考量；附加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物的遮蔽設施亦應配合原建築立面作整體考量。立面之材質，顏色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及新舊建築物應盡量協調並與環境相和諧。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三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建築附屬設施：建築物周邊及屋頂平台必須設置的設施物如：</w:t>
      </w:r>
      <w:proofErr w:type="gramStart"/>
      <w:r w:rsidRPr="00AB1D5D">
        <w:rPr>
          <w:rFonts w:ascii="標楷體" w:eastAsia="標楷體" w:hAnsi="標楷體"/>
          <w:color w:val="000000"/>
          <w:sz w:val="28"/>
          <w:szCs w:val="28"/>
        </w:rPr>
        <w:t>儲液</w:t>
      </w:r>
      <w:proofErr w:type="gramEnd"/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氣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槽、水槽、風扇、機房、冷卻水塔、垃圾存放處等應避免直接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暴露於道路及永久性開放空間之公共視野內或配置於屋頂平面中央，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且須設置適當之設施或</w:t>
      </w:r>
      <w:proofErr w:type="gramStart"/>
      <w:r w:rsidRPr="00AB1D5D">
        <w:rPr>
          <w:rFonts w:ascii="標楷體" w:eastAsia="標楷體" w:hAnsi="標楷體"/>
          <w:color w:val="000000"/>
          <w:sz w:val="28"/>
          <w:szCs w:val="28"/>
        </w:rPr>
        <w:t>植栽作有效</w:t>
      </w:r>
      <w:proofErr w:type="gramEnd"/>
      <w:r w:rsidRPr="00AB1D5D">
        <w:rPr>
          <w:rFonts w:ascii="標楷體" w:eastAsia="標楷體" w:hAnsi="標楷體"/>
          <w:color w:val="000000"/>
          <w:sz w:val="28"/>
          <w:szCs w:val="28"/>
        </w:rPr>
        <w:t>的遮擋，</w:t>
      </w:r>
      <w:proofErr w:type="gramStart"/>
      <w:r w:rsidRPr="00AB1D5D">
        <w:rPr>
          <w:rFonts w:ascii="標楷體" w:eastAsia="標楷體" w:hAnsi="標楷體"/>
          <w:color w:val="000000"/>
          <w:sz w:val="28"/>
          <w:szCs w:val="28"/>
        </w:rPr>
        <w:t>屋頂露台應</w:t>
      </w:r>
      <w:proofErr w:type="gramEnd"/>
      <w:r w:rsidRPr="00AB1D5D">
        <w:rPr>
          <w:rFonts w:ascii="標楷體" w:eastAsia="標楷體" w:hAnsi="標楷體"/>
          <w:color w:val="000000"/>
          <w:sz w:val="28"/>
          <w:szCs w:val="28"/>
        </w:rPr>
        <w:t>盡量設計</w:t>
      </w:r>
      <w:proofErr w:type="gramStart"/>
      <w:r w:rsidRPr="00AB1D5D">
        <w:rPr>
          <w:rFonts w:ascii="標楷體" w:eastAsia="標楷體" w:hAnsi="標楷體"/>
          <w:color w:val="000000"/>
          <w:sz w:val="28"/>
          <w:szCs w:val="28"/>
        </w:rPr>
        <w:t>可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供植栽</w:t>
      </w:r>
      <w:proofErr w:type="gramEnd"/>
      <w:r w:rsidRPr="00AB1D5D">
        <w:rPr>
          <w:rFonts w:ascii="標楷體" w:eastAsia="標楷體" w:hAnsi="標楷體"/>
          <w:color w:val="000000"/>
          <w:sz w:val="28"/>
          <w:szCs w:val="28"/>
        </w:rPr>
        <w:t>之屋頂花園為原則。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四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基地出入口及建築物臨街立面標示物，其大小及位置需與建築物搭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配，比例要相稱；並以設置各一處為原則。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lastRenderedPageBreak/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五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本基地園區內不得有裸露土面，各建築基地法定空地退縮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建築之部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分，原則上綠化面積不得少於百分之五十，建築基地綠化適用建築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技術規則者，從其規定。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六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植栽配置應仔細考慮冬季季風遮擋、夏日遮蔭、並配合建築物之外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觀顏色質感，選用具季節變化之植栽種類。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七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景觀規劃時應考量周邊及本基地園區內原存之景觀元素，與自然植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生做最適當的配合，以作最小改變原則。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八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建築基地之戶外空間應盡量綠化，地面停車場之數量應避免過量而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損其開放空間之品質。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九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本基地園區內各建築基地，其車行出入口設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置於計畫道路上，其車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行出入口位置、大小及數量，須經科管局同意。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十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建築基地內大型停車場與卸貨區以不設置於臨主要計畫道路旁為原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則，並應配合適當景觀處理。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十一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停車空間之地面</w:t>
      </w:r>
      <w:proofErr w:type="gramStart"/>
      <w:r w:rsidRPr="00AB1D5D">
        <w:rPr>
          <w:rFonts w:ascii="標楷體" w:eastAsia="標楷體" w:hAnsi="標楷體"/>
          <w:color w:val="000000"/>
          <w:sz w:val="28"/>
          <w:szCs w:val="28"/>
        </w:rPr>
        <w:t>出入口應距道路路</w:t>
      </w:r>
      <w:proofErr w:type="gramEnd"/>
      <w:r w:rsidRPr="00AB1D5D">
        <w:rPr>
          <w:rFonts w:ascii="標楷體" w:eastAsia="標楷體" w:hAnsi="標楷體"/>
          <w:color w:val="000000"/>
          <w:sz w:val="28"/>
          <w:szCs w:val="28"/>
        </w:rPr>
        <w:t>邊交叉點</w:t>
      </w:r>
      <w:proofErr w:type="gramStart"/>
      <w:r w:rsidRPr="00AB1D5D">
        <w:rPr>
          <w:rFonts w:ascii="標楷體" w:eastAsia="標楷體" w:hAnsi="標楷體"/>
          <w:color w:val="000000"/>
          <w:sz w:val="28"/>
          <w:szCs w:val="28"/>
        </w:rPr>
        <w:t>或截角線</w:t>
      </w:r>
      <w:proofErr w:type="gramEnd"/>
      <w:r w:rsidRPr="00AB1D5D">
        <w:rPr>
          <w:rFonts w:ascii="標楷體" w:eastAsia="標楷體" w:hAnsi="標楷體"/>
          <w:color w:val="000000"/>
          <w:sz w:val="28"/>
          <w:szCs w:val="28"/>
        </w:rPr>
        <w:t>、路口轉彎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處圓弧起點、穿越斑馬線、橫越天橋或地下道出入口二十公尺以上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距離為原則。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十二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地下室停車空間之地面出入口，與道路銜接處應於車道兩側留設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寬度四公尺以上之無礙視線空地為原則。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十三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新建大型建築物規劃設計以取得綠建築證書為原則。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四、申請人應備</w:t>
      </w:r>
      <w:proofErr w:type="gramStart"/>
      <w:r w:rsidRPr="00AB1D5D">
        <w:rPr>
          <w:rFonts w:ascii="標楷體" w:eastAsia="標楷體" w:hAnsi="標楷體"/>
          <w:color w:val="000000"/>
          <w:sz w:val="28"/>
          <w:szCs w:val="28"/>
        </w:rPr>
        <w:t>妥</w:t>
      </w:r>
      <w:proofErr w:type="gramEnd"/>
      <w:r w:rsidRPr="00AB1D5D">
        <w:rPr>
          <w:rFonts w:ascii="標楷體" w:eastAsia="標楷體" w:hAnsi="標楷體"/>
          <w:color w:val="000000"/>
          <w:sz w:val="28"/>
          <w:szCs w:val="28"/>
        </w:rPr>
        <w:t>申請函與預審報告書一式十份，寄送或</w:t>
      </w:r>
      <w:proofErr w:type="gramStart"/>
      <w:r w:rsidRPr="00AB1D5D">
        <w:rPr>
          <w:rFonts w:ascii="標楷體" w:eastAsia="標楷體" w:hAnsi="標楷體"/>
          <w:color w:val="000000"/>
          <w:sz w:val="28"/>
          <w:szCs w:val="28"/>
        </w:rPr>
        <w:t>親送科</w:t>
      </w:r>
      <w:proofErr w:type="gramEnd"/>
      <w:r w:rsidRPr="00AB1D5D">
        <w:rPr>
          <w:rFonts w:ascii="標楷體" w:eastAsia="標楷體" w:hAnsi="標楷體"/>
          <w:color w:val="000000"/>
          <w:sz w:val="28"/>
          <w:szCs w:val="28"/>
        </w:rPr>
        <w:t>管局辦理審查。預審報告書之內容，以包括以下各款為原則。但經科管局審議通過者，不在此限。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proofErr w:type="gramStart"/>
      <w:r w:rsidRPr="00AB1D5D">
        <w:rPr>
          <w:rFonts w:ascii="標楷體" w:eastAsia="標楷體" w:hAnsi="標楷體"/>
          <w:color w:val="000000"/>
          <w:sz w:val="28"/>
          <w:szCs w:val="28"/>
        </w:rPr>
        <w:t>一</w:t>
      </w:r>
      <w:proofErr w:type="gramEnd"/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申請書與委託書：載明起造人名稱、住址、電話、設計人名稱、住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址、電話，設計標的【含案名、基地座落地號或門牌號碼】及用印，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委託書載明受託人及委託人、委託標的並用印。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二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基地位置圖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基地現況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：載明基地位置、方位、都市計畫土地使用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分區或區域計畫土地使用編定及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道路名稱。圖面比例尺不得小於一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千二百分之一。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三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開發計畫與法令檢討：簡述分期分區興建計畫，載明各期位置、使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用強度、交通、停車、景觀、雨水再利用系統等之連接方式；依據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土地使用分區管制要點與都市設計準則，檢核建蔽率、容積率、基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地退縮、法定停車位，相關法令要點檢核，並以檢核表逐一檢討。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四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交通動線計畫：說明基地周邊現況交通動線，基地內動線與開口檢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討及防災動線規劃。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五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建築設計圖說：載明設計概念、基地之方位、地形、四周道路、附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近建築物情況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樓高與位置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、建築物平面、立面、剖面、透視圖、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空間用途、外牆顏色及材質及外牆標示物詳圖。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六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景觀設計圖說：載明有景觀與指標設施位置、現有植栽調查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應標示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基地原有植栽之種類、規格、數量及保存、移植與砍伐之說明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、主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要道路與分區代表植栽名稱、分區代表顏色；設計之公眾活動區、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服務區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裝卸區、垃圾暫存區、地面其他固定設施物等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、基地法定</w:t>
      </w:r>
      <w:proofErr w:type="gramStart"/>
      <w:r w:rsidRPr="00AB1D5D">
        <w:rPr>
          <w:rFonts w:ascii="標楷體" w:eastAsia="標楷體" w:hAnsi="標楷體"/>
          <w:color w:val="000000"/>
          <w:sz w:val="28"/>
          <w:szCs w:val="28"/>
        </w:rPr>
        <w:t>總植栽量</w:t>
      </w:r>
      <w:proofErr w:type="gramEnd"/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含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中</w:t>
      </w:r>
      <w:bookmarkStart w:id="1" w:name="_Hlk110943950"/>
      <w:r w:rsidRPr="00AB1D5D">
        <w:rPr>
          <w:rFonts w:ascii="標楷體" w:eastAsia="標楷體" w:hAnsi="標楷體"/>
          <w:color w:val="000000"/>
          <w:sz w:val="28"/>
          <w:szCs w:val="28"/>
        </w:rPr>
        <w:t>、</w:t>
      </w:r>
      <w:bookmarkEnd w:id="1"/>
      <w:r w:rsidRPr="00AB1D5D">
        <w:rPr>
          <w:rFonts w:ascii="標楷體" w:eastAsia="標楷體" w:hAnsi="標楷體"/>
          <w:color w:val="000000"/>
          <w:sz w:val="28"/>
          <w:szCs w:val="28"/>
        </w:rPr>
        <w:t>小型喬木</w:t>
      </w:r>
      <w:proofErr w:type="gramStart"/>
      <w:r w:rsidRPr="00AB1D5D">
        <w:rPr>
          <w:rFonts w:ascii="標楷體" w:eastAsia="標楷體" w:hAnsi="標楷體"/>
          <w:color w:val="000000"/>
          <w:sz w:val="28"/>
          <w:szCs w:val="28"/>
        </w:rPr>
        <w:t>植栽量</w:t>
      </w:r>
      <w:proofErr w:type="gramEnd"/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、植栽計畫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應含綠地、遮蔽性綠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籬及停車場等之植栽配置，及原有植栽與新植栽之位置與數量計算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、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照明系統、各種指標位置、分區代表顏色。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七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施工圍籬綠美化：載明施工圍籬綠美化之設計及圖示。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八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綠建築專章與綠建築候選證書檢討。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九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建廠期程與相關申請附註文件。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十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其他經科管局審查之必要附屬文件。</w:t>
      </w:r>
    </w:p>
    <w:p w:rsidR="00C204B5" w:rsidRPr="00AB1D5D" w:rsidRDefault="00AB1D5D" w:rsidP="00AB1D5D">
      <w:pPr>
        <w:pStyle w:val="Textbody"/>
        <w:spacing w:before="43" w:after="43"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　　</w:t>
      </w:r>
      <w:r w:rsidR="00001D8F" w:rsidRPr="00AB1D5D">
        <w:rPr>
          <w:rFonts w:ascii="標楷體" w:eastAsia="標楷體" w:hAnsi="標楷體"/>
          <w:color w:val="000000"/>
          <w:sz w:val="28"/>
          <w:szCs w:val="28"/>
        </w:rPr>
        <w:t>經完成審議之案件，申請人應檢附預審報告書</w:t>
      </w:r>
      <w:r w:rsidR="00001D8F"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="00001D8F" w:rsidRPr="00AB1D5D">
        <w:rPr>
          <w:rFonts w:ascii="標楷體" w:eastAsia="標楷體" w:hAnsi="標楷體"/>
          <w:color w:val="000000"/>
          <w:sz w:val="28"/>
          <w:szCs w:val="28"/>
        </w:rPr>
        <w:t>定稿版</w:t>
      </w:r>
      <w:r w:rsidR="00001D8F"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="00001D8F" w:rsidRPr="00AB1D5D">
        <w:rPr>
          <w:rFonts w:ascii="標楷體" w:eastAsia="標楷體" w:hAnsi="標楷體"/>
          <w:color w:val="000000"/>
          <w:sz w:val="28"/>
          <w:szCs w:val="28"/>
        </w:rPr>
        <w:t>一式十份及電子</w:t>
      </w:r>
      <w:proofErr w:type="gramStart"/>
      <w:r w:rsidR="00001D8F" w:rsidRPr="00AB1D5D">
        <w:rPr>
          <w:rFonts w:ascii="標楷體" w:eastAsia="標楷體" w:hAnsi="標楷體"/>
          <w:color w:val="000000"/>
          <w:sz w:val="28"/>
          <w:szCs w:val="28"/>
        </w:rPr>
        <w:t>檔</w:t>
      </w:r>
      <w:proofErr w:type="gramEnd"/>
      <w:r w:rsidR="00001D8F" w:rsidRPr="00AB1D5D">
        <w:rPr>
          <w:rFonts w:ascii="標楷體" w:eastAsia="標楷體" w:hAnsi="標楷體"/>
          <w:color w:val="000000"/>
          <w:sz w:val="28"/>
          <w:szCs w:val="28"/>
        </w:rPr>
        <w:t>光碟乙份，</w:t>
      </w:r>
      <w:proofErr w:type="gramStart"/>
      <w:r w:rsidR="00001D8F" w:rsidRPr="00AB1D5D">
        <w:rPr>
          <w:rFonts w:ascii="標楷體" w:eastAsia="標楷體" w:hAnsi="標楷體"/>
          <w:color w:val="000000"/>
          <w:sz w:val="28"/>
          <w:szCs w:val="28"/>
        </w:rPr>
        <w:t>送科管</w:t>
      </w:r>
      <w:proofErr w:type="gramEnd"/>
      <w:r w:rsidR="00001D8F" w:rsidRPr="00AB1D5D">
        <w:rPr>
          <w:rFonts w:ascii="標楷體" w:eastAsia="標楷體" w:hAnsi="標楷體"/>
          <w:color w:val="000000"/>
          <w:sz w:val="28"/>
          <w:szCs w:val="28"/>
        </w:rPr>
        <w:t>局備查。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五、經科管局備查之申請案，如符合下列規定，得免再提會審議：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proofErr w:type="gramStart"/>
      <w:r w:rsidRPr="00AB1D5D">
        <w:rPr>
          <w:rFonts w:ascii="標楷體" w:eastAsia="標楷體" w:hAnsi="標楷體"/>
          <w:color w:val="000000"/>
          <w:sz w:val="28"/>
          <w:szCs w:val="28"/>
        </w:rPr>
        <w:t>一</w:t>
      </w:r>
      <w:proofErr w:type="gramEnd"/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用途變更為影響強度較低或類似用途互換者。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二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變更附屬設施未影響景觀。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三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景觀綠化係同一種別植栽種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樹種</w:t>
      </w:r>
      <w:proofErr w:type="gramStart"/>
      <w:r w:rsidRPr="00AB1D5D">
        <w:rPr>
          <w:rFonts w:ascii="標楷體" w:eastAsia="標楷體" w:hAnsi="標楷體"/>
          <w:color w:val="000000"/>
          <w:sz w:val="28"/>
          <w:szCs w:val="28"/>
        </w:rPr>
        <w:t>或草種</w:t>
      </w:r>
      <w:proofErr w:type="gramEnd"/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變更者。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四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不調整立面開口面積之門窗形式、欄杆形式變更者。</w:t>
      </w:r>
    </w:p>
    <w:p w:rsidR="00C204B5" w:rsidRPr="00AB1D5D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ascii="標楷體" w:eastAsia="標楷體" w:hAnsi="標楷體"/>
          <w:sz w:val="28"/>
          <w:szCs w:val="28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五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建築物內部空間調整者。</w:t>
      </w:r>
    </w:p>
    <w:p w:rsidR="00C204B5" w:rsidRDefault="00001D8F" w:rsidP="00AB1D5D">
      <w:pPr>
        <w:pStyle w:val="Textbody"/>
        <w:spacing w:before="43" w:after="43" w:line="460" w:lineRule="exact"/>
        <w:ind w:left="1276" w:hanging="567"/>
        <w:jc w:val="both"/>
        <w:rPr>
          <w:rFonts w:hint="eastAsia"/>
        </w:rPr>
      </w:pPr>
      <w:r w:rsidRPr="00AB1D5D">
        <w:rPr>
          <w:rFonts w:ascii="標楷體" w:eastAsia="標楷體" w:hAnsi="標楷體"/>
          <w:color w:val="000000"/>
          <w:sz w:val="28"/>
          <w:szCs w:val="28"/>
        </w:rPr>
        <w:t>(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六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)</w:t>
      </w:r>
      <w:r w:rsidRPr="00AB1D5D">
        <w:rPr>
          <w:rFonts w:ascii="標楷體" w:eastAsia="標楷體" w:hAnsi="標楷體"/>
          <w:color w:val="000000"/>
          <w:sz w:val="28"/>
          <w:szCs w:val="28"/>
        </w:rPr>
        <w:t>其他經科管局認定者。</w:t>
      </w:r>
    </w:p>
    <w:sectPr w:rsidR="00C204B5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1D8F" w:rsidRDefault="00001D8F">
      <w:r>
        <w:separator/>
      </w:r>
    </w:p>
  </w:endnote>
  <w:endnote w:type="continuationSeparator" w:id="0">
    <w:p w:rsidR="00001D8F" w:rsidRDefault="00001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1D8F" w:rsidRDefault="00001D8F">
      <w:r>
        <w:rPr>
          <w:color w:val="000000"/>
        </w:rPr>
        <w:separator/>
      </w:r>
    </w:p>
  </w:footnote>
  <w:footnote w:type="continuationSeparator" w:id="0">
    <w:p w:rsidR="00001D8F" w:rsidRDefault="00001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87796"/>
    <w:multiLevelType w:val="multilevel"/>
    <w:tmpl w:val="008C3A6E"/>
    <w:styleLink w:val="WWNum1"/>
    <w:lvl w:ilvl="0">
      <w:start w:val="1"/>
      <w:numFmt w:val="japaneseCounting"/>
      <w:lvlText w:val="(%1)"/>
      <w:lvlJc w:val="left"/>
      <w:pPr>
        <w:ind w:left="960" w:hanging="480"/>
      </w:pPr>
      <w:rPr>
        <w:rFonts w:ascii="標楷體" w:hAnsi="標楷體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204B5"/>
    <w:rsid w:val="00001D8F"/>
    <w:rsid w:val="003B7C02"/>
    <w:rsid w:val="00AB1D5D"/>
    <w:rsid w:val="00C2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7F40E"/>
  <w15:docId w15:val="{3EFE0FA5-557D-470D-A31D-56D6825E0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Textbody"/>
    <w:uiPriority w:val="9"/>
    <w:semiHidden/>
    <w:unhideWhenUsed/>
    <w:qFormat/>
    <w:pPr>
      <w:spacing w:before="100" w:after="100"/>
      <w:outlineLvl w:val="2"/>
    </w:pPr>
    <w:rPr>
      <w:rFonts w:ascii="新細明體" w:hAnsi="新細明體" w:cs="新細明體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customStyle="1" w:styleId="Textbody">
    <w:name w:val="Text body"/>
    <w:pPr>
      <w:suppressAutoHyphens/>
    </w:pPr>
    <w:rPr>
      <w:sz w:val="24"/>
      <w:szCs w:val="24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Contents1">
    <w:name w:val="Contents 1"/>
    <w:basedOn w:val="Textbody"/>
    <w:next w:val="Textbody"/>
    <w:autoRedefine/>
    <w:pPr>
      <w:widowControl w:val="0"/>
    </w:pPr>
    <w:rPr>
      <w:rFonts w:eastAsia="標楷體"/>
      <w:b/>
      <w:bCs/>
      <w:kern w:val="3"/>
      <w:sz w:val="28"/>
    </w:rPr>
  </w:style>
  <w:style w:type="paragraph" w:customStyle="1" w:styleId="Contents3">
    <w:name w:val="Contents 3"/>
    <w:basedOn w:val="Textbody"/>
    <w:next w:val="Textbody"/>
    <w:autoRedefine/>
    <w:pPr>
      <w:widowControl w:val="0"/>
      <w:ind w:firstLine="680"/>
    </w:pPr>
    <w:rPr>
      <w:rFonts w:eastAsia="標楷體"/>
      <w:bCs/>
      <w:kern w:val="3"/>
    </w:rPr>
  </w:style>
  <w:style w:type="paragraph" w:customStyle="1" w:styleId="Contents5">
    <w:name w:val="Contents 5"/>
    <w:basedOn w:val="Textbody"/>
    <w:next w:val="Textbody"/>
    <w:autoRedefine/>
    <w:pPr>
      <w:widowControl w:val="0"/>
      <w:ind w:left="1920" w:hanging="1920"/>
    </w:pPr>
    <w:rPr>
      <w:rFonts w:eastAsia="標楷體"/>
      <w:bCs/>
      <w:kern w:val="3"/>
    </w:rPr>
  </w:style>
  <w:style w:type="paragraph" w:styleId="HTML">
    <w:name w:val="HTML Preformatted"/>
    <w:basedOn w:val="Textbod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atLeast"/>
      <w:jc w:val="both"/>
    </w:pPr>
    <w:rPr>
      <w:rFonts w:ascii="細明體" w:eastAsia="細明體" w:hAnsi="細明體" w:cs="細明體"/>
      <w:sz w:val="22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3">
    <w:name w:val="header"/>
    <w:basedOn w:val="Textbody"/>
    <w:pPr>
      <w:widowControl w:val="0"/>
      <w:tabs>
        <w:tab w:val="center" w:pos="4153"/>
        <w:tab w:val="right" w:pos="8306"/>
      </w:tabs>
      <w:snapToGrid w:val="0"/>
      <w:spacing w:line="370" w:lineRule="atLeast"/>
      <w:jc w:val="both"/>
    </w:pPr>
    <w:rPr>
      <w:kern w:val="3"/>
      <w:sz w:val="20"/>
      <w:szCs w:val="20"/>
    </w:rPr>
  </w:style>
  <w:style w:type="paragraph" w:styleId="2">
    <w:name w:val="Body Text Indent 2"/>
    <w:basedOn w:val="Textbody"/>
    <w:pPr>
      <w:widowControl w:val="0"/>
      <w:ind w:firstLine="640"/>
    </w:pPr>
    <w:rPr>
      <w:rFonts w:ascii="標楷體" w:eastAsia="標楷體" w:hAnsi="標楷體" w:cs="標楷體"/>
      <w:sz w:val="28"/>
    </w:rPr>
  </w:style>
  <w:style w:type="paragraph" w:styleId="a4">
    <w:name w:val="Body Text Indent"/>
    <w:basedOn w:val="Textbody"/>
    <w:pPr>
      <w:widowControl w:val="0"/>
      <w:ind w:left="480" w:hanging="480"/>
    </w:pPr>
    <w:rPr>
      <w:rFonts w:ascii="標楷體" w:eastAsia="標楷體" w:hAnsi="標楷體" w:cs="標楷體"/>
      <w:kern w:val="3"/>
    </w:r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Textbody"/>
    <w:rPr>
      <w:rFonts w:ascii="Arial" w:eastAsia="Arial" w:hAnsi="Arial" w:cs="Arial"/>
      <w:sz w:val="18"/>
      <w:szCs w:val="18"/>
    </w:rPr>
  </w:style>
  <w:style w:type="paragraph" w:styleId="30">
    <w:name w:val="Body Text Indent 3"/>
    <w:basedOn w:val="Textbody"/>
    <w:pPr>
      <w:spacing w:after="120"/>
      <w:ind w:left="480"/>
    </w:pPr>
    <w:rPr>
      <w:sz w:val="16"/>
      <w:szCs w:val="16"/>
    </w:rPr>
  </w:style>
  <w:style w:type="paragraph" w:customStyle="1" w:styleId="1-0">
    <w:name w:val="1-0"/>
    <w:basedOn w:val="Textbody"/>
    <w:pPr>
      <w:widowControl w:val="0"/>
      <w:autoSpaceDE w:val="0"/>
      <w:spacing w:before="240" w:line="240" w:lineRule="atLeast"/>
      <w:jc w:val="both"/>
    </w:pPr>
    <w:rPr>
      <w:spacing w:val="10"/>
      <w:sz w:val="26"/>
      <w:szCs w:val="20"/>
    </w:rPr>
  </w:style>
  <w:style w:type="paragraph" w:customStyle="1" w:styleId="12">
    <w:name w:val="1.2"/>
    <w:basedOn w:val="Textbody"/>
    <w:pPr>
      <w:widowControl w:val="0"/>
      <w:autoSpaceDE w:val="0"/>
      <w:spacing w:line="500" w:lineRule="atLeast"/>
      <w:ind w:left="680"/>
    </w:pPr>
    <w:rPr>
      <w:sz w:val="28"/>
      <w:szCs w:val="20"/>
    </w:rPr>
  </w:style>
  <w:style w:type="paragraph" w:styleId="a7">
    <w:name w:val="Block Text"/>
    <w:basedOn w:val="Textbody"/>
    <w:pPr>
      <w:widowControl w:val="0"/>
      <w:ind w:left="113" w:right="113"/>
    </w:pPr>
    <w:rPr>
      <w:rFonts w:eastAsia="標楷體"/>
      <w:kern w:val="3"/>
      <w:sz w:val="22"/>
      <w:szCs w:val="20"/>
    </w:rPr>
  </w:style>
  <w:style w:type="paragraph" w:customStyle="1" w:styleId="Textbodyindent">
    <w:name w:val="Text body indent"/>
    <w:basedOn w:val="Textbody"/>
    <w:pPr>
      <w:widowControl w:val="0"/>
      <w:ind w:left="480"/>
    </w:pPr>
    <w:rPr>
      <w:kern w:val="3"/>
      <w:szCs w:val="20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DocumentMap">
    <w:name w:val="DocumentMap"/>
    <w:pPr>
      <w:textAlignment w:val="auto"/>
    </w:pPr>
    <w:rPr>
      <w:rFonts w:ascii="Calibri" w:eastAsia="Calibri" w:hAnsi="Calibri" w:cs="Calibri"/>
      <w:kern w:val="3"/>
      <w:sz w:val="24"/>
      <w:szCs w:val="22"/>
    </w:rPr>
  </w:style>
  <w:style w:type="paragraph" w:styleId="a8">
    <w:name w:val="List Paragraph"/>
    <w:basedOn w:val="Standard"/>
    <w:pPr>
      <w:widowControl w:val="0"/>
      <w:ind w:left="480"/>
      <w:textAlignment w:val="auto"/>
    </w:pPr>
    <w:rPr>
      <w:rFonts w:ascii="Calibri" w:eastAsia="Calibri" w:hAnsi="Calibri" w:cs="Calibri"/>
      <w:kern w:val="3"/>
      <w:sz w:val="24"/>
      <w:szCs w:val="22"/>
    </w:rPr>
  </w:style>
  <w:style w:type="paragraph" w:customStyle="1" w:styleId="1">
    <w:name w:val="表格內文1"/>
    <w:pPr>
      <w:textAlignment w:val="auto"/>
    </w:pPr>
    <w:rPr>
      <w:rFonts w:ascii="Calibri" w:eastAsia="Calibri" w:hAnsi="Calibri" w:cs="Calibri"/>
    </w:rPr>
  </w:style>
  <w:style w:type="character" w:styleId="a9">
    <w:name w:val="Hyperlink"/>
    <w:rPr>
      <w:color w:val="0000FF"/>
      <w:u w:val="single"/>
    </w:rPr>
  </w:style>
  <w:style w:type="character" w:styleId="aa">
    <w:name w:val="page number"/>
    <w:basedOn w:val="a0"/>
  </w:style>
  <w:style w:type="character" w:styleId="ab">
    <w:name w:val="FollowedHyperlink"/>
    <w:rPr>
      <w:color w:val="800080"/>
      <w:u w:val="single"/>
    </w:rPr>
  </w:style>
  <w:style w:type="character" w:customStyle="1" w:styleId="31">
    <w:name w:val="標題 3 字元"/>
    <w:rPr>
      <w:rFonts w:ascii="新細明體" w:eastAsia="新細明體" w:hAnsi="新細明體" w:cs="新細明體"/>
      <w:b/>
      <w:bCs/>
      <w:sz w:val="27"/>
      <w:szCs w:val="27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標楷體" w:eastAsia="標楷體" w:hAnsi="標楷體" w:cs="Times New Roman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numbering" w:customStyle="1" w:styleId="WWNum1">
    <w:name w:val="WW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337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行政院環境保護署表揚模範環境保護專責人員遴選要點</dc:title>
  <dc:creator>wlgong</dc:creator>
  <cp:lastModifiedBy>賴以晴</cp:lastModifiedBy>
  <cp:revision>2</cp:revision>
  <cp:lastPrinted>2019-12-17T06:13:00Z</cp:lastPrinted>
  <dcterms:created xsi:type="dcterms:W3CDTF">2022-08-16T05:35:00Z</dcterms:created>
  <dcterms:modified xsi:type="dcterms:W3CDTF">2022-08-16T05:35:00Z</dcterms:modified>
</cp:coreProperties>
</file>