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62787" w14:textId="6A5AE980" w:rsidR="0027022D" w:rsidRPr="00F825E0" w:rsidRDefault="008E19A0" w:rsidP="00F75282">
      <w:pPr>
        <w:spacing w:line="460" w:lineRule="exact"/>
        <w:jc w:val="center"/>
        <w:rPr>
          <w:rFonts w:ascii="標楷體" w:eastAsia="標楷體" w:hAnsi="標楷體"/>
          <w:sz w:val="40"/>
          <w:szCs w:val="40"/>
        </w:rPr>
      </w:pPr>
      <w:bookmarkStart w:id="0" w:name="_Hlk110003255"/>
      <w:bookmarkStart w:id="1" w:name="_GoBack"/>
      <w:r w:rsidRPr="008E19A0">
        <w:rPr>
          <w:rFonts w:ascii="標楷體" w:eastAsia="標楷體" w:hAnsi="標楷體" w:hint="eastAsia"/>
          <w:color w:val="000000" w:themeColor="text1"/>
          <w:sz w:val="40"/>
          <w:szCs w:val="40"/>
        </w:rPr>
        <w:t>新竹科學工業園區特定區(新竹縣部分)景觀及建築設計審議要點</w:t>
      </w:r>
    </w:p>
    <w:bookmarkEnd w:id="1"/>
    <w:p w14:paraId="49AF51FC" w14:textId="77777777" w:rsidR="008E19A0" w:rsidRPr="008E19A0" w:rsidRDefault="008E19A0" w:rsidP="008E19A0">
      <w:pPr>
        <w:pStyle w:val="Standard"/>
        <w:spacing w:line="360" w:lineRule="exact"/>
        <w:jc w:val="right"/>
        <w:rPr>
          <w:rFonts w:ascii="標楷體" w:eastAsia="標楷體" w:hAnsi="標楷體" w:hint="eastAsia"/>
          <w:kern w:val="2"/>
          <w:sz w:val="20"/>
          <w:szCs w:val="20"/>
        </w:rPr>
      </w:pPr>
      <w:r w:rsidRPr="008E19A0">
        <w:rPr>
          <w:rFonts w:ascii="標楷體" w:eastAsia="標楷體" w:hAnsi="標楷體" w:hint="eastAsia"/>
          <w:kern w:val="2"/>
          <w:sz w:val="20"/>
          <w:szCs w:val="20"/>
        </w:rPr>
        <w:t>中華民國110年7月19日科技部新竹科學園區</w:t>
      </w:r>
      <w:proofErr w:type="gramStart"/>
      <w:r w:rsidRPr="008E19A0">
        <w:rPr>
          <w:rFonts w:ascii="標楷體" w:eastAsia="標楷體" w:hAnsi="標楷體" w:hint="eastAsia"/>
          <w:kern w:val="2"/>
          <w:sz w:val="20"/>
          <w:szCs w:val="20"/>
        </w:rPr>
        <w:t>管理局竹建字</w:t>
      </w:r>
      <w:proofErr w:type="gramEnd"/>
      <w:r w:rsidRPr="008E19A0">
        <w:rPr>
          <w:rFonts w:ascii="標楷體" w:eastAsia="標楷體" w:hAnsi="標楷體" w:hint="eastAsia"/>
          <w:kern w:val="2"/>
          <w:sz w:val="20"/>
          <w:szCs w:val="20"/>
        </w:rPr>
        <w:t>第1100020256B號令訂定</w:t>
      </w:r>
    </w:p>
    <w:p w14:paraId="12872142" w14:textId="002AB6E9" w:rsidR="001373EE" w:rsidRDefault="008E19A0" w:rsidP="008E19A0">
      <w:pPr>
        <w:pStyle w:val="Standard"/>
        <w:spacing w:line="360" w:lineRule="exact"/>
        <w:jc w:val="right"/>
        <w:rPr>
          <w:rFonts w:ascii="標楷體" w:eastAsia="標楷體" w:hAnsi="標楷體"/>
          <w:color w:val="000000" w:themeColor="text1"/>
          <w:sz w:val="20"/>
          <w:szCs w:val="20"/>
        </w:rPr>
      </w:pPr>
      <w:r w:rsidRPr="008E19A0">
        <w:rPr>
          <w:rFonts w:ascii="標楷體" w:eastAsia="標楷體" w:hAnsi="標楷體" w:hint="eastAsia"/>
          <w:kern w:val="2"/>
          <w:sz w:val="20"/>
          <w:szCs w:val="20"/>
        </w:rPr>
        <w:t>中華民國111年8月18日國家科學及技術委員會新竹科學園區</w:t>
      </w:r>
      <w:proofErr w:type="gramStart"/>
      <w:r w:rsidRPr="008E19A0">
        <w:rPr>
          <w:rFonts w:ascii="標楷體" w:eastAsia="標楷體" w:hAnsi="標楷體" w:hint="eastAsia"/>
          <w:kern w:val="2"/>
          <w:sz w:val="20"/>
          <w:szCs w:val="20"/>
        </w:rPr>
        <w:t>管理局竹建字</w:t>
      </w:r>
      <w:proofErr w:type="gramEnd"/>
      <w:r w:rsidRPr="008E19A0">
        <w:rPr>
          <w:rFonts w:ascii="標楷體" w:eastAsia="標楷體" w:hAnsi="標楷體" w:hint="eastAsia"/>
          <w:kern w:val="2"/>
          <w:sz w:val="20"/>
          <w:szCs w:val="20"/>
        </w:rPr>
        <w:t>第1110027049B號令修正</w:t>
      </w:r>
    </w:p>
    <w:p w14:paraId="7E7B6EA3" w14:textId="2BAE4D5A" w:rsidR="0027022D" w:rsidRPr="008E19A0" w:rsidRDefault="008E19A0" w:rsidP="008E19A0">
      <w:pPr>
        <w:pStyle w:val="2"/>
        <w:numPr>
          <w:ilvl w:val="0"/>
          <w:numId w:val="10"/>
        </w:numPr>
        <w:spacing w:line="460" w:lineRule="exact"/>
        <w:jc w:val="both"/>
        <w:rPr>
          <w:rFonts w:ascii="標楷體" w:hAnsi="標楷體"/>
          <w:szCs w:val="28"/>
        </w:rPr>
      </w:pPr>
      <w:bookmarkStart w:id="2" w:name="_Hlk110004935"/>
      <w:bookmarkStart w:id="3" w:name="_Hlk109221476"/>
      <w:bookmarkEnd w:id="0"/>
      <w:r w:rsidRPr="008E19A0">
        <w:rPr>
          <w:rFonts w:ascii="標楷體" w:hAnsi="標楷體" w:hint="eastAsia"/>
          <w:color w:val="000000" w:themeColor="text1"/>
          <w:szCs w:val="28"/>
        </w:rPr>
        <w:t>國家科學及技術委員會新竹科學園區管理局(以下簡稱本局)為建構新竹科學園區整體優質環境，促進土地合理及有效利用，提升並形塑高科技產業園區之建築景觀風格、生態環保、公共安全與綠建築節能，依新竹科學工業園區特定區隸屬於新竹縣行政轄區之都市計畫細部內土地使用管制要點或都市設計原則等相關規定，特訂定本要點。</w:t>
      </w:r>
      <w:bookmarkEnd w:id="2"/>
      <w:bookmarkEnd w:id="3"/>
    </w:p>
    <w:p w14:paraId="58DA420C" w14:textId="48D66CC7" w:rsidR="008E19A0" w:rsidRDefault="008E19A0" w:rsidP="008E19A0">
      <w:pPr>
        <w:pStyle w:val="2"/>
        <w:numPr>
          <w:ilvl w:val="0"/>
          <w:numId w:val="10"/>
        </w:numPr>
        <w:spacing w:line="460" w:lineRule="exact"/>
        <w:jc w:val="both"/>
        <w:rPr>
          <w:rFonts w:ascii="標楷體" w:hAnsi="標楷體"/>
          <w:szCs w:val="28"/>
        </w:rPr>
      </w:pPr>
      <w:r w:rsidRPr="008E19A0">
        <w:rPr>
          <w:rFonts w:ascii="標楷體" w:hAnsi="標楷體" w:hint="eastAsia"/>
          <w:szCs w:val="28"/>
        </w:rPr>
        <w:t>本局依據本要點內容及參照有關法令，得就本計畫區內之申請建築案件進行景觀及建築設計審議作業，並得成立景觀及建築設計審議委員會進行審議。</w:t>
      </w:r>
    </w:p>
    <w:p w14:paraId="6517EE20" w14:textId="1EC1CDFA" w:rsidR="008E19A0" w:rsidRDefault="008E19A0" w:rsidP="008E19A0">
      <w:pPr>
        <w:pStyle w:val="2"/>
        <w:numPr>
          <w:ilvl w:val="0"/>
          <w:numId w:val="10"/>
        </w:numPr>
        <w:spacing w:line="460" w:lineRule="exact"/>
        <w:jc w:val="both"/>
        <w:rPr>
          <w:rFonts w:ascii="標楷體" w:hAnsi="標楷體"/>
          <w:szCs w:val="28"/>
        </w:rPr>
      </w:pPr>
      <w:r w:rsidRPr="008E19A0">
        <w:rPr>
          <w:rFonts w:ascii="標楷體" w:hAnsi="標楷體" w:hint="eastAsia"/>
          <w:szCs w:val="28"/>
        </w:rPr>
        <w:t>除園區服務區及住宅區外，申請建築之建築與景觀規劃設計，以下列各款為原則。但經本局審議通過者，不在此限。</w:t>
      </w:r>
    </w:p>
    <w:p w14:paraId="0C07BD13" w14:textId="70129679" w:rsidR="008E19A0" w:rsidRDefault="008E19A0" w:rsidP="008E19A0">
      <w:pPr>
        <w:pStyle w:val="2"/>
        <w:numPr>
          <w:ilvl w:val="1"/>
          <w:numId w:val="10"/>
        </w:numPr>
        <w:spacing w:line="460" w:lineRule="exact"/>
        <w:jc w:val="both"/>
        <w:rPr>
          <w:rFonts w:ascii="標楷體" w:hAnsi="標楷體"/>
          <w:szCs w:val="28"/>
        </w:rPr>
      </w:pPr>
      <w:r w:rsidRPr="008E19A0">
        <w:rPr>
          <w:rFonts w:ascii="標楷體" w:hAnsi="標楷體" w:hint="eastAsia"/>
          <w:szCs w:val="28"/>
        </w:rPr>
        <w:t>建築立面設計：建築物面臨主要道路、公園、綠地(帶)側，建築物立面應加強細部處理，以符合視覺景觀多樣化。建築立面造型之處理，應尊重建築</w:t>
      </w:r>
      <w:proofErr w:type="gramStart"/>
      <w:r w:rsidRPr="008E19A0">
        <w:rPr>
          <w:rFonts w:ascii="標楷體" w:hAnsi="標楷體" w:hint="eastAsia"/>
          <w:szCs w:val="28"/>
        </w:rPr>
        <w:t>群體間的協調</w:t>
      </w:r>
      <w:proofErr w:type="gramEnd"/>
      <w:r w:rsidRPr="008E19A0">
        <w:rPr>
          <w:rFonts w:ascii="標楷體" w:hAnsi="標楷體" w:hint="eastAsia"/>
          <w:szCs w:val="28"/>
        </w:rPr>
        <w:t>性。</w:t>
      </w:r>
    </w:p>
    <w:p w14:paraId="1423947A" w14:textId="74EAEB42" w:rsidR="008E19A0" w:rsidRDefault="008E19A0" w:rsidP="008E19A0">
      <w:pPr>
        <w:pStyle w:val="2"/>
        <w:numPr>
          <w:ilvl w:val="1"/>
          <w:numId w:val="10"/>
        </w:numPr>
        <w:spacing w:line="460" w:lineRule="exact"/>
        <w:jc w:val="both"/>
        <w:rPr>
          <w:rFonts w:ascii="標楷體" w:hAnsi="標楷體"/>
          <w:szCs w:val="28"/>
        </w:rPr>
      </w:pPr>
      <w:r w:rsidRPr="008E19A0">
        <w:rPr>
          <w:rFonts w:ascii="標楷體" w:hAnsi="標楷體" w:hint="eastAsia"/>
          <w:szCs w:val="28"/>
        </w:rPr>
        <w:t>立面附加物：建築物因工業生產或其他需求所須安置於建築體之立面附加物如管線、設備、壁面標示等應與建築物作整體考量；附加物的遮蔽設施亦應配合原建築立面作整體考量。立面之材質、顏色及新舊建築物應盡量協調並與環境相和諧。</w:t>
      </w:r>
    </w:p>
    <w:p w14:paraId="73502F9F" w14:textId="4DE89CD2" w:rsidR="008E19A0" w:rsidRDefault="008E19A0" w:rsidP="008E19A0">
      <w:pPr>
        <w:pStyle w:val="2"/>
        <w:numPr>
          <w:ilvl w:val="1"/>
          <w:numId w:val="10"/>
        </w:numPr>
        <w:spacing w:line="460" w:lineRule="exact"/>
        <w:jc w:val="both"/>
        <w:rPr>
          <w:rFonts w:ascii="標楷體" w:hAnsi="標楷體"/>
          <w:szCs w:val="28"/>
        </w:rPr>
      </w:pPr>
      <w:r w:rsidRPr="008E19A0">
        <w:rPr>
          <w:rFonts w:ascii="標楷體" w:hAnsi="標楷體" w:hint="eastAsia"/>
          <w:szCs w:val="28"/>
        </w:rPr>
        <w:t>建築附屬設施：</w:t>
      </w:r>
      <w:proofErr w:type="gramStart"/>
      <w:r w:rsidRPr="008E19A0">
        <w:rPr>
          <w:rFonts w:ascii="標楷體" w:hAnsi="標楷體" w:hint="eastAsia"/>
          <w:szCs w:val="28"/>
        </w:rPr>
        <w:t>儲液</w:t>
      </w:r>
      <w:proofErr w:type="gramEnd"/>
      <w:r w:rsidRPr="008E19A0">
        <w:rPr>
          <w:rFonts w:ascii="標楷體" w:hAnsi="標楷體" w:hint="eastAsia"/>
          <w:szCs w:val="28"/>
        </w:rPr>
        <w:t>(氣)槽、水槽、風扇、機房、冷卻水塔、垃圾存放處等建築物周邊及屋頂平台必須設置的設施物，應避免直接暴露於道路及永久性開放空間之公共視野內或配置於屋頂平面中央，且須設置適當之設施或</w:t>
      </w:r>
      <w:proofErr w:type="gramStart"/>
      <w:r w:rsidRPr="008E19A0">
        <w:rPr>
          <w:rFonts w:ascii="標楷體" w:hAnsi="標楷體" w:hint="eastAsia"/>
          <w:szCs w:val="28"/>
        </w:rPr>
        <w:t>植栽作有效</w:t>
      </w:r>
      <w:proofErr w:type="gramEnd"/>
      <w:r w:rsidRPr="008E19A0">
        <w:rPr>
          <w:rFonts w:ascii="標楷體" w:hAnsi="標楷體" w:hint="eastAsia"/>
          <w:szCs w:val="28"/>
        </w:rPr>
        <w:t>的遮擋，</w:t>
      </w:r>
      <w:proofErr w:type="gramStart"/>
      <w:r w:rsidRPr="008E19A0">
        <w:rPr>
          <w:rFonts w:ascii="標楷體" w:hAnsi="標楷體" w:hint="eastAsia"/>
          <w:szCs w:val="28"/>
        </w:rPr>
        <w:t>屋頂露台應</w:t>
      </w:r>
      <w:proofErr w:type="gramEnd"/>
      <w:r w:rsidRPr="008E19A0">
        <w:rPr>
          <w:rFonts w:ascii="標楷體" w:hAnsi="標楷體" w:hint="eastAsia"/>
          <w:szCs w:val="28"/>
        </w:rPr>
        <w:t>盡量設計</w:t>
      </w:r>
      <w:proofErr w:type="gramStart"/>
      <w:r w:rsidRPr="008E19A0">
        <w:rPr>
          <w:rFonts w:ascii="標楷體" w:hAnsi="標楷體" w:hint="eastAsia"/>
          <w:szCs w:val="28"/>
        </w:rPr>
        <w:t>可供植栽</w:t>
      </w:r>
      <w:proofErr w:type="gramEnd"/>
      <w:r w:rsidRPr="008E19A0">
        <w:rPr>
          <w:rFonts w:ascii="標楷體" w:hAnsi="標楷體" w:hint="eastAsia"/>
          <w:szCs w:val="28"/>
        </w:rPr>
        <w:t>之屋頂花園為原則。</w:t>
      </w:r>
    </w:p>
    <w:p w14:paraId="278FB6F4" w14:textId="2C5D2602" w:rsidR="008E19A0" w:rsidRDefault="008E19A0" w:rsidP="008E19A0">
      <w:pPr>
        <w:pStyle w:val="2"/>
        <w:numPr>
          <w:ilvl w:val="1"/>
          <w:numId w:val="10"/>
        </w:numPr>
        <w:spacing w:line="460" w:lineRule="exact"/>
        <w:jc w:val="both"/>
        <w:rPr>
          <w:rFonts w:ascii="標楷體" w:hAnsi="標楷體"/>
          <w:szCs w:val="28"/>
        </w:rPr>
      </w:pPr>
      <w:r w:rsidRPr="008E19A0">
        <w:rPr>
          <w:rFonts w:ascii="標楷體" w:hAnsi="標楷體" w:hint="eastAsia"/>
          <w:szCs w:val="28"/>
        </w:rPr>
        <w:t>基地出入口及建築物臨街立面標示物，其大小及位置須與建築物搭配，比例要相稱；並以設置各一處為原則。</w:t>
      </w:r>
    </w:p>
    <w:p w14:paraId="065E42DA" w14:textId="5BF3326D" w:rsidR="008E19A0" w:rsidRDefault="008E19A0" w:rsidP="008E19A0">
      <w:pPr>
        <w:pStyle w:val="2"/>
        <w:numPr>
          <w:ilvl w:val="1"/>
          <w:numId w:val="10"/>
        </w:numPr>
        <w:spacing w:line="460" w:lineRule="exact"/>
        <w:jc w:val="both"/>
        <w:rPr>
          <w:rFonts w:ascii="標楷體" w:hAnsi="標楷體"/>
          <w:szCs w:val="28"/>
        </w:rPr>
      </w:pPr>
      <w:r w:rsidRPr="008E19A0">
        <w:rPr>
          <w:rFonts w:ascii="標楷體" w:hAnsi="標楷體" w:hint="eastAsia"/>
          <w:szCs w:val="28"/>
        </w:rPr>
        <w:lastRenderedPageBreak/>
        <w:t>基地內不得有裸露土面，各建築基地法定空地退縮建築之部分，原則上綠化面積不得少於百分之五十，建築基地綠化適用建築技術規則者，從其規定。</w:t>
      </w:r>
    </w:p>
    <w:p w14:paraId="374FDFE2" w14:textId="3CF9565D" w:rsidR="008E19A0" w:rsidRDefault="008E19A0" w:rsidP="008E19A0">
      <w:pPr>
        <w:pStyle w:val="2"/>
        <w:numPr>
          <w:ilvl w:val="1"/>
          <w:numId w:val="10"/>
        </w:numPr>
        <w:spacing w:line="460" w:lineRule="exact"/>
        <w:jc w:val="both"/>
        <w:rPr>
          <w:rFonts w:ascii="標楷體" w:hAnsi="標楷體"/>
          <w:szCs w:val="28"/>
        </w:rPr>
      </w:pPr>
      <w:r w:rsidRPr="008E19A0">
        <w:rPr>
          <w:rFonts w:ascii="標楷體" w:hAnsi="標楷體" w:hint="eastAsia"/>
          <w:szCs w:val="28"/>
        </w:rPr>
        <w:t>植栽配置應仔細考慮冬季季風遮擋、夏日遮蔭，並配合建築物之外觀顏色質感，選用具季節變化之植栽種類。</w:t>
      </w:r>
    </w:p>
    <w:p w14:paraId="53151094" w14:textId="6AD9272F" w:rsidR="008E19A0" w:rsidRDefault="008E19A0" w:rsidP="008E19A0">
      <w:pPr>
        <w:pStyle w:val="2"/>
        <w:numPr>
          <w:ilvl w:val="1"/>
          <w:numId w:val="10"/>
        </w:numPr>
        <w:spacing w:line="460" w:lineRule="exact"/>
        <w:jc w:val="both"/>
        <w:rPr>
          <w:rFonts w:ascii="標楷體" w:hAnsi="標楷體"/>
          <w:szCs w:val="28"/>
        </w:rPr>
      </w:pPr>
      <w:r w:rsidRPr="008E19A0">
        <w:rPr>
          <w:rFonts w:ascii="標楷體" w:hAnsi="標楷體" w:hint="eastAsia"/>
          <w:szCs w:val="28"/>
        </w:rPr>
        <w:t>景觀規劃時應考量周邊及本基地園區內原存之景觀元素，與自然植生做最適當的配合，以作最小改變為原則。</w:t>
      </w:r>
    </w:p>
    <w:p w14:paraId="632011FB" w14:textId="4F6DECFE" w:rsidR="008E19A0" w:rsidRDefault="008E19A0" w:rsidP="008E19A0">
      <w:pPr>
        <w:pStyle w:val="2"/>
        <w:numPr>
          <w:ilvl w:val="1"/>
          <w:numId w:val="10"/>
        </w:numPr>
        <w:spacing w:line="460" w:lineRule="exact"/>
        <w:jc w:val="both"/>
        <w:rPr>
          <w:rFonts w:ascii="標楷體" w:hAnsi="標楷體"/>
          <w:szCs w:val="28"/>
        </w:rPr>
      </w:pPr>
      <w:r w:rsidRPr="008E19A0">
        <w:rPr>
          <w:rFonts w:ascii="標楷體" w:hAnsi="標楷體" w:hint="eastAsia"/>
          <w:szCs w:val="28"/>
        </w:rPr>
        <w:t>喬木數量及規格：每一建築基地面積除以五十</w:t>
      </w:r>
      <w:proofErr w:type="gramStart"/>
      <w:r w:rsidRPr="008E19A0">
        <w:rPr>
          <w:rFonts w:ascii="標楷體" w:hAnsi="標楷體" w:hint="eastAsia"/>
          <w:szCs w:val="28"/>
        </w:rPr>
        <w:t>平方公尺為植栽</w:t>
      </w:r>
      <w:proofErr w:type="gramEnd"/>
      <w:r w:rsidRPr="008E19A0">
        <w:rPr>
          <w:rFonts w:ascii="標楷體" w:hAnsi="標楷體" w:hint="eastAsia"/>
          <w:szCs w:val="28"/>
        </w:rPr>
        <w:t>喬木之基數，中型尺寸以上喬木(樹徑大於七公分、樹高三公尺以上、樹冠幅度一點二公尺以上)應</w:t>
      </w:r>
      <w:proofErr w:type="gramStart"/>
      <w:r w:rsidRPr="008E19A0">
        <w:rPr>
          <w:rFonts w:ascii="標楷體" w:hAnsi="標楷體" w:hint="eastAsia"/>
          <w:szCs w:val="28"/>
        </w:rPr>
        <w:t>佔</w:t>
      </w:r>
      <w:proofErr w:type="gramEnd"/>
      <w:r w:rsidRPr="008E19A0">
        <w:rPr>
          <w:rFonts w:ascii="標楷體" w:hAnsi="標楷體" w:hint="eastAsia"/>
          <w:szCs w:val="28"/>
        </w:rPr>
        <w:t>基數之百分之二十以上；小型尺寸喬木(樹徑大於五公分、樹高二公尺以上、樹冠幅度一公尺以上)應</w:t>
      </w:r>
      <w:proofErr w:type="gramStart"/>
      <w:r w:rsidRPr="008E19A0">
        <w:rPr>
          <w:rFonts w:ascii="標楷體" w:hAnsi="標楷體" w:hint="eastAsia"/>
          <w:szCs w:val="28"/>
        </w:rPr>
        <w:t>佔</w:t>
      </w:r>
      <w:proofErr w:type="gramEnd"/>
      <w:r w:rsidRPr="008E19A0">
        <w:rPr>
          <w:rFonts w:ascii="標楷體" w:hAnsi="標楷體" w:hint="eastAsia"/>
          <w:szCs w:val="28"/>
        </w:rPr>
        <w:t>基數之百分之二十五以上，餘數以一株計。</w:t>
      </w:r>
    </w:p>
    <w:p w14:paraId="221D4C98" w14:textId="10A03725" w:rsidR="008E19A0" w:rsidRDefault="008E19A0" w:rsidP="008E19A0">
      <w:pPr>
        <w:pStyle w:val="2"/>
        <w:numPr>
          <w:ilvl w:val="1"/>
          <w:numId w:val="10"/>
        </w:numPr>
        <w:spacing w:line="460" w:lineRule="exact"/>
        <w:jc w:val="both"/>
        <w:rPr>
          <w:rFonts w:ascii="標楷體" w:hAnsi="標楷體"/>
          <w:szCs w:val="28"/>
        </w:rPr>
      </w:pPr>
      <w:r w:rsidRPr="008E19A0">
        <w:rPr>
          <w:rFonts w:ascii="標楷體" w:hAnsi="標楷體" w:hint="eastAsia"/>
          <w:szCs w:val="28"/>
        </w:rPr>
        <w:t>為有效控制地表</w:t>
      </w:r>
      <w:proofErr w:type="gramStart"/>
      <w:r w:rsidRPr="008E19A0">
        <w:rPr>
          <w:rFonts w:ascii="標楷體" w:hAnsi="標楷體" w:hint="eastAsia"/>
          <w:szCs w:val="28"/>
        </w:rPr>
        <w:t>逕</w:t>
      </w:r>
      <w:proofErr w:type="gramEnd"/>
      <w:r w:rsidRPr="008E19A0">
        <w:rPr>
          <w:rFonts w:ascii="標楷體" w:hAnsi="標楷體" w:hint="eastAsia"/>
          <w:szCs w:val="28"/>
        </w:rPr>
        <w:t>流，廣場、停車場或車道鋪面若使用透水材料者，可以鋪面面積乘以獎勵係數計入綠化面積。植</w:t>
      </w:r>
      <w:proofErr w:type="gramStart"/>
      <w:r w:rsidRPr="008E19A0">
        <w:rPr>
          <w:rFonts w:ascii="標楷體" w:hAnsi="標楷體" w:hint="eastAsia"/>
          <w:szCs w:val="28"/>
        </w:rPr>
        <w:t>草磚面的</w:t>
      </w:r>
      <w:proofErr w:type="gramEnd"/>
      <w:r w:rsidRPr="008E19A0">
        <w:rPr>
          <w:rFonts w:ascii="標楷體" w:hAnsi="標楷體" w:hint="eastAsia"/>
          <w:szCs w:val="28"/>
        </w:rPr>
        <w:t>獎勵係數為一，連鎖</w:t>
      </w:r>
      <w:proofErr w:type="gramStart"/>
      <w:r w:rsidRPr="008E19A0">
        <w:rPr>
          <w:rFonts w:ascii="標楷體" w:hAnsi="標楷體" w:hint="eastAsia"/>
          <w:szCs w:val="28"/>
        </w:rPr>
        <w:t>式透水磚</w:t>
      </w:r>
      <w:proofErr w:type="gramEnd"/>
      <w:r w:rsidRPr="008E19A0">
        <w:rPr>
          <w:rFonts w:ascii="標楷體" w:hAnsi="標楷體" w:hint="eastAsia"/>
          <w:szCs w:val="28"/>
        </w:rPr>
        <w:t>的獎勵係數為零點五。</w:t>
      </w:r>
    </w:p>
    <w:p w14:paraId="1899138B" w14:textId="7DB0A79C" w:rsidR="008E19A0" w:rsidRDefault="008E19A0" w:rsidP="008E19A0">
      <w:pPr>
        <w:pStyle w:val="2"/>
        <w:numPr>
          <w:ilvl w:val="1"/>
          <w:numId w:val="10"/>
        </w:numPr>
        <w:spacing w:line="460" w:lineRule="exact"/>
        <w:jc w:val="both"/>
        <w:rPr>
          <w:rFonts w:ascii="標楷體" w:hAnsi="標楷體"/>
          <w:szCs w:val="28"/>
        </w:rPr>
      </w:pPr>
      <w:r w:rsidRPr="008E19A0">
        <w:rPr>
          <w:rFonts w:ascii="標楷體" w:hAnsi="標楷體" w:hint="eastAsia"/>
          <w:szCs w:val="28"/>
        </w:rPr>
        <w:t>建築基地之戶外空間應盡量綠化，地面停車場之數量應避免過量而損其開放空間之品質。</w:t>
      </w:r>
    </w:p>
    <w:p w14:paraId="3FDA3C65" w14:textId="7D1B0E6B" w:rsidR="008E19A0" w:rsidRDefault="008E19A0" w:rsidP="008E19A0">
      <w:pPr>
        <w:pStyle w:val="2"/>
        <w:numPr>
          <w:ilvl w:val="1"/>
          <w:numId w:val="10"/>
        </w:numPr>
        <w:spacing w:line="460" w:lineRule="exact"/>
        <w:jc w:val="both"/>
        <w:rPr>
          <w:rFonts w:ascii="標楷體" w:hAnsi="標楷體"/>
          <w:szCs w:val="28"/>
        </w:rPr>
      </w:pPr>
      <w:r w:rsidRPr="008E19A0">
        <w:rPr>
          <w:rFonts w:ascii="標楷體" w:hAnsi="標楷體" w:hint="eastAsia"/>
          <w:szCs w:val="28"/>
        </w:rPr>
        <w:t>建築基地之車行出入口設置於計畫道路上，其車行出入口位置、大小及數量，須經本局同意。</w:t>
      </w:r>
    </w:p>
    <w:p w14:paraId="47E35C83" w14:textId="12051DBA" w:rsidR="008E19A0" w:rsidRDefault="008E19A0" w:rsidP="008E19A0">
      <w:pPr>
        <w:pStyle w:val="2"/>
        <w:numPr>
          <w:ilvl w:val="1"/>
          <w:numId w:val="10"/>
        </w:numPr>
        <w:spacing w:line="460" w:lineRule="exact"/>
        <w:jc w:val="both"/>
        <w:rPr>
          <w:rFonts w:ascii="標楷體" w:hAnsi="標楷體"/>
          <w:szCs w:val="28"/>
        </w:rPr>
      </w:pPr>
      <w:r w:rsidRPr="008E19A0">
        <w:rPr>
          <w:rFonts w:ascii="標楷體" w:hAnsi="標楷體" w:hint="eastAsia"/>
          <w:szCs w:val="28"/>
        </w:rPr>
        <w:t>建築基地內大型停車場與卸貨區以不設置於臨主要計畫道路旁為原則，並應配合適當景觀處理。</w:t>
      </w:r>
    </w:p>
    <w:p w14:paraId="6346B60E" w14:textId="69522FFA" w:rsidR="008E19A0" w:rsidRDefault="008E19A0" w:rsidP="008E19A0">
      <w:pPr>
        <w:pStyle w:val="2"/>
        <w:numPr>
          <w:ilvl w:val="1"/>
          <w:numId w:val="10"/>
        </w:numPr>
        <w:spacing w:line="460" w:lineRule="exact"/>
        <w:jc w:val="both"/>
        <w:rPr>
          <w:rFonts w:ascii="標楷體" w:hAnsi="標楷體"/>
          <w:szCs w:val="28"/>
        </w:rPr>
      </w:pPr>
      <w:r w:rsidRPr="008E19A0">
        <w:rPr>
          <w:rFonts w:ascii="標楷體" w:hAnsi="標楷體" w:hint="eastAsia"/>
          <w:szCs w:val="28"/>
        </w:rPr>
        <w:t>停車空間之地面</w:t>
      </w:r>
      <w:proofErr w:type="gramStart"/>
      <w:r w:rsidRPr="008E19A0">
        <w:rPr>
          <w:rFonts w:ascii="標楷體" w:hAnsi="標楷體" w:hint="eastAsia"/>
          <w:szCs w:val="28"/>
        </w:rPr>
        <w:t>出入口應距道路路</w:t>
      </w:r>
      <w:proofErr w:type="gramEnd"/>
      <w:r w:rsidRPr="008E19A0">
        <w:rPr>
          <w:rFonts w:ascii="標楷體" w:hAnsi="標楷體" w:hint="eastAsia"/>
          <w:szCs w:val="28"/>
        </w:rPr>
        <w:t>邊交叉點</w:t>
      </w:r>
      <w:proofErr w:type="gramStart"/>
      <w:r w:rsidRPr="008E19A0">
        <w:rPr>
          <w:rFonts w:ascii="標楷體" w:hAnsi="標楷體" w:hint="eastAsia"/>
          <w:szCs w:val="28"/>
        </w:rPr>
        <w:t>或截角線</w:t>
      </w:r>
      <w:proofErr w:type="gramEnd"/>
      <w:r w:rsidRPr="008E19A0">
        <w:rPr>
          <w:rFonts w:ascii="標楷體" w:hAnsi="標楷體" w:hint="eastAsia"/>
          <w:szCs w:val="28"/>
        </w:rPr>
        <w:t>、路口轉彎處圓弧起點、穿越斑馬線、橫越天橋或地下道出入口二十公尺以上距離為原則。</w:t>
      </w:r>
    </w:p>
    <w:p w14:paraId="72A8B007" w14:textId="110767A2" w:rsidR="008E19A0" w:rsidRDefault="008E19A0" w:rsidP="008E19A0">
      <w:pPr>
        <w:pStyle w:val="2"/>
        <w:numPr>
          <w:ilvl w:val="1"/>
          <w:numId w:val="10"/>
        </w:numPr>
        <w:spacing w:line="460" w:lineRule="exact"/>
        <w:jc w:val="both"/>
        <w:rPr>
          <w:rFonts w:ascii="標楷體" w:hAnsi="標楷體"/>
          <w:szCs w:val="28"/>
        </w:rPr>
      </w:pPr>
      <w:r w:rsidRPr="008E19A0">
        <w:rPr>
          <w:rFonts w:ascii="標楷體" w:hAnsi="標楷體" w:hint="eastAsia"/>
          <w:szCs w:val="28"/>
        </w:rPr>
        <w:t>地下室停車空間之地面出入口，與道路銜接處應於車道兩側留設寬度四公尺以上之無礙視線空地為原則。</w:t>
      </w:r>
    </w:p>
    <w:p w14:paraId="48F09F0E" w14:textId="641F7536" w:rsidR="008E19A0" w:rsidRDefault="008E19A0" w:rsidP="008E19A0">
      <w:pPr>
        <w:pStyle w:val="2"/>
        <w:numPr>
          <w:ilvl w:val="1"/>
          <w:numId w:val="10"/>
        </w:numPr>
        <w:spacing w:line="460" w:lineRule="exact"/>
        <w:jc w:val="both"/>
        <w:rPr>
          <w:rFonts w:ascii="標楷體" w:hAnsi="標楷體"/>
          <w:szCs w:val="28"/>
        </w:rPr>
      </w:pPr>
      <w:r w:rsidRPr="008E19A0">
        <w:rPr>
          <w:rFonts w:ascii="標楷體" w:hAnsi="標楷體" w:hint="eastAsia"/>
          <w:szCs w:val="28"/>
        </w:rPr>
        <w:t>新建大型建築物規劃設計以取得綠建築證書為原則。</w:t>
      </w:r>
    </w:p>
    <w:p w14:paraId="08692350" w14:textId="0162413B" w:rsidR="008E19A0" w:rsidRDefault="008E19A0" w:rsidP="008E19A0">
      <w:pPr>
        <w:pStyle w:val="2"/>
        <w:numPr>
          <w:ilvl w:val="0"/>
          <w:numId w:val="10"/>
        </w:numPr>
        <w:spacing w:line="460" w:lineRule="exact"/>
        <w:jc w:val="both"/>
        <w:rPr>
          <w:rFonts w:ascii="標楷體" w:hAnsi="標楷體"/>
          <w:szCs w:val="28"/>
        </w:rPr>
      </w:pPr>
      <w:r w:rsidRPr="008E19A0">
        <w:rPr>
          <w:rFonts w:ascii="標楷體" w:hAnsi="標楷體" w:hint="eastAsia"/>
          <w:szCs w:val="28"/>
        </w:rPr>
        <w:t>園區服務區及住宅區，申請建築之建築與景觀規劃設計，以下列各款為原則。但經本局審議通過者，不在此限。</w:t>
      </w:r>
    </w:p>
    <w:p w14:paraId="316D2E81" w14:textId="15A4998C" w:rsidR="00722987" w:rsidRPr="00722987" w:rsidRDefault="00722987" w:rsidP="00722987">
      <w:pPr>
        <w:pStyle w:val="2"/>
        <w:numPr>
          <w:ilvl w:val="1"/>
          <w:numId w:val="10"/>
        </w:numPr>
        <w:spacing w:line="460" w:lineRule="exact"/>
        <w:jc w:val="both"/>
        <w:rPr>
          <w:rFonts w:ascii="標楷體" w:hAnsi="標楷體"/>
          <w:szCs w:val="28"/>
        </w:rPr>
      </w:pPr>
      <w:r>
        <w:rPr>
          <w:rFonts w:ascii="標楷體" w:hAnsi="標楷體"/>
          <w:color w:val="000000"/>
          <w:szCs w:val="30"/>
        </w:rPr>
        <w:t>退縮規定：</w:t>
      </w:r>
    </w:p>
    <w:p w14:paraId="66A34F8C" w14:textId="63335EC2" w:rsidR="00722987" w:rsidRDefault="00722987" w:rsidP="00722987">
      <w:pPr>
        <w:pStyle w:val="2"/>
        <w:numPr>
          <w:ilvl w:val="2"/>
          <w:numId w:val="10"/>
        </w:numPr>
        <w:spacing w:line="460" w:lineRule="exact"/>
        <w:jc w:val="both"/>
        <w:rPr>
          <w:rFonts w:ascii="標楷體" w:hAnsi="標楷體"/>
          <w:szCs w:val="28"/>
        </w:rPr>
      </w:pPr>
      <w:r w:rsidRPr="00722987">
        <w:rPr>
          <w:rFonts w:ascii="標楷體" w:hAnsi="標楷體" w:hint="eastAsia"/>
          <w:szCs w:val="28"/>
        </w:rPr>
        <w:t>園區服務區：</w:t>
      </w:r>
    </w:p>
    <w:p w14:paraId="44C711A4" w14:textId="043950ED" w:rsidR="00722987" w:rsidRDefault="00962938" w:rsidP="00962938">
      <w:pPr>
        <w:pStyle w:val="2"/>
        <w:numPr>
          <w:ilvl w:val="3"/>
          <w:numId w:val="10"/>
        </w:numPr>
        <w:spacing w:line="460" w:lineRule="exact"/>
        <w:jc w:val="both"/>
        <w:rPr>
          <w:rFonts w:ascii="標楷體" w:hAnsi="標楷體"/>
          <w:szCs w:val="28"/>
        </w:rPr>
      </w:pPr>
      <w:r w:rsidRPr="00962938">
        <w:rPr>
          <w:rFonts w:ascii="標楷體" w:hAnsi="標楷體" w:hint="eastAsia"/>
          <w:szCs w:val="28"/>
        </w:rPr>
        <w:t>面寬六公尺之基地，前院須退縮五公尺，後院須退縮一點五公尺設置防火間隔及人行道。</w:t>
      </w:r>
    </w:p>
    <w:p w14:paraId="25E25955" w14:textId="3FAA04E8" w:rsidR="00962938" w:rsidRDefault="00962938" w:rsidP="00962938">
      <w:pPr>
        <w:pStyle w:val="2"/>
        <w:numPr>
          <w:ilvl w:val="3"/>
          <w:numId w:val="10"/>
        </w:numPr>
        <w:spacing w:line="460" w:lineRule="exact"/>
        <w:jc w:val="both"/>
        <w:rPr>
          <w:rFonts w:ascii="標楷體" w:hAnsi="標楷體"/>
          <w:szCs w:val="28"/>
        </w:rPr>
      </w:pPr>
      <w:r w:rsidRPr="00962938">
        <w:rPr>
          <w:rFonts w:ascii="標楷體" w:hAnsi="標楷體" w:hint="eastAsia"/>
          <w:szCs w:val="28"/>
        </w:rPr>
        <w:t>面寬七點一二公尺之基地，面臨公園停車場者，後院須退縮一點五公尺作為防火間隔。</w:t>
      </w:r>
    </w:p>
    <w:p w14:paraId="788AFF16" w14:textId="25F2E349" w:rsidR="00962938" w:rsidRDefault="00962938" w:rsidP="00962938">
      <w:pPr>
        <w:pStyle w:val="2"/>
        <w:numPr>
          <w:ilvl w:val="2"/>
          <w:numId w:val="10"/>
        </w:numPr>
        <w:spacing w:line="460" w:lineRule="exact"/>
        <w:jc w:val="both"/>
        <w:rPr>
          <w:rFonts w:ascii="標楷體" w:hAnsi="標楷體"/>
          <w:szCs w:val="28"/>
        </w:rPr>
      </w:pPr>
      <w:r w:rsidRPr="00962938">
        <w:rPr>
          <w:rFonts w:ascii="標楷體" w:hAnsi="標楷體" w:hint="eastAsia"/>
          <w:szCs w:val="28"/>
        </w:rPr>
        <w:t>住宅區：面寬達六公尺，其前院至少退縮四公尺建築；</w:t>
      </w:r>
      <w:proofErr w:type="gramStart"/>
      <w:r w:rsidRPr="00962938">
        <w:rPr>
          <w:rFonts w:ascii="標楷體" w:hAnsi="標楷體" w:hint="eastAsia"/>
          <w:szCs w:val="28"/>
        </w:rPr>
        <w:t>面寬未達</w:t>
      </w:r>
      <w:proofErr w:type="gramEnd"/>
      <w:r w:rsidRPr="00962938">
        <w:rPr>
          <w:rFonts w:ascii="標楷體" w:hAnsi="標楷體" w:hint="eastAsia"/>
          <w:szCs w:val="28"/>
        </w:rPr>
        <w:t>六公尺者，其前院至少退縮五點五公尺建築；後院須退縮一點五公尺設置防火間隔及人行道。</w:t>
      </w:r>
    </w:p>
    <w:p w14:paraId="72061D8A" w14:textId="54EC6C4C" w:rsidR="00962938" w:rsidRDefault="00962938" w:rsidP="00962938">
      <w:pPr>
        <w:pStyle w:val="2"/>
        <w:numPr>
          <w:ilvl w:val="1"/>
          <w:numId w:val="10"/>
        </w:numPr>
        <w:spacing w:line="460" w:lineRule="exact"/>
        <w:jc w:val="both"/>
        <w:rPr>
          <w:rFonts w:ascii="標楷體" w:hAnsi="標楷體"/>
          <w:szCs w:val="28"/>
        </w:rPr>
      </w:pPr>
      <w:r w:rsidRPr="00962938">
        <w:rPr>
          <w:rFonts w:ascii="標楷體" w:hAnsi="標楷體" w:hint="eastAsia"/>
          <w:szCs w:val="28"/>
        </w:rPr>
        <w:t>建物高度規定：</w:t>
      </w:r>
    </w:p>
    <w:p w14:paraId="4DDA6F5F" w14:textId="77777777" w:rsidR="00962938" w:rsidRPr="00962938" w:rsidRDefault="00962938" w:rsidP="00962938">
      <w:pPr>
        <w:pStyle w:val="2"/>
        <w:numPr>
          <w:ilvl w:val="2"/>
          <w:numId w:val="10"/>
        </w:numPr>
        <w:spacing w:line="460" w:lineRule="exact"/>
        <w:jc w:val="both"/>
        <w:rPr>
          <w:rFonts w:ascii="標楷體" w:hAnsi="標楷體" w:hint="eastAsia"/>
          <w:szCs w:val="28"/>
        </w:rPr>
      </w:pPr>
      <w:r w:rsidRPr="00962938">
        <w:rPr>
          <w:rFonts w:ascii="標楷體" w:hAnsi="標楷體" w:hint="eastAsia"/>
          <w:szCs w:val="28"/>
        </w:rPr>
        <w:t>一樓室內地板面線高於</w:t>
      </w:r>
      <w:proofErr w:type="gramStart"/>
      <w:r w:rsidRPr="00962938">
        <w:rPr>
          <w:rFonts w:ascii="標楷體" w:hAnsi="標楷體" w:hint="eastAsia"/>
          <w:szCs w:val="28"/>
        </w:rPr>
        <w:t>人行道路緣二十</w:t>
      </w:r>
      <w:proofErr w:type="gramEnd"/>
      <w:r w:rsidRPr="00962938">
        <w:rPr>
          <w:rFonts w:ascii="標楷體" w:hAnsi="標楷體" w:hint="eastAsia"/>
          <w:szCs w:val="28"/>
        </w:rPr>
        <w:t>公分。</w:t>
      </w:r>
    </w:p>
    <w:p w14:paraId="4FEF6A40" w14:textId="6108AD39" w:rsidR="00962938" w:rsidRPr="00962938" w:rsidRDefault="00962938" w:rsidP="00962938">
      <w:pPr>
        <w:pStyle w:val="2"/>
        <w:numPr>
          <w:ilvl w:val="2"/>
          <w:numId w:val="10"/>
        </w:numPr>
        <w:spacing w:line="460" w:lineRule="exact"/>
        <w:jc w:val="both"/>
        <w:rPr>
          <w:rFonts w:ascii="標楷體" w:hAnsi="標楷體" w:hint="eastAsia"/>
          <w:szCs w:val="28"/>
        </w:rPr>
      </w:pPr>
      <w:proofErr w:type="gramStart"/>
      <w:r w:rsidRPr="00962938">
        <w:rPr>
          <w:rFonts w:ascii="標楷體" w:hAnsi="標楷體" w:hint="eastAsia"/>
          <w:szCs w:val="28"/>
        </w:rPr>
        <w:t>一</w:t>
      </w:r>
      <w:proofErr w:type="gramEnd"/>
      <w:r w:rsidRPr="00962938">
        <w:rPr>
          <w:rFonts w:ascii="標楷體" w:hAnsi="標楷體" w:hint="eastAsia"/>
          <w:szCs w:val="28"/>
        </w:rPr>
        <w:t>樓層高三百六十</w:t>
      </w:r>
      <w:proofErr w:type="gramStart"/>
      <w:r w:rsidRPr="00962938">
        <w:rPr>
          <w:rFonts w:ascii="標楷體" w:hAnsi="標楷體" w:hint="eastAsia"/>
          <w:szCs w:val="28"/>
        </w:rPr>
        <w:t>公分，</w:t>
      </w:r>
      <w:proofErr w:type="gramEnd"/>
      <w:r w:rsidRPr="00962938">
        <w:rPr>
          <w:rFonts w:ascii="標楷體" w:hAnsi="標楷體" w:hint="eastAsia"/>
          <w:szCs w:val="28"/>
        </w:rPr>
        <w:t>二樓以上樓層高度皆三百三十公分。</w:t>
      </w:r>
    </w:p>
    <w:p w14:paraId="0D0383F1" w14:textId="4DF69F9A" w:rsidR="00962938" w:rsidRDefault="00962938" w:rsidP="00962938">
      <w:pPr>
        <w:pStyle w:val="2"/>
        <w:numPr>
          <w:ilvl w:val="2"/>
          <w:numId w:val="10"/>
        </w:numPr>
        <w:spacing w:line="460" w:lineRule="exact"/>
        <w:jc w:val="both"/>
        <w:rPr>
          <w:rFonts w:ascii="標楷體" w:hAnsi="標楷體"/>
          <w:szCs w:val="28"/>
        </w:rPr>
      </w:pPr>
      <w:r w:rsidRPr="00962938">
        <w:rPr>
          <w:rFonts w:ascii="標楷體" w:hAnsi="標楷體" w:hint="eastAsia"/>
          <w:szCs w:val="28"/>
        </w:rPr>
        <w:t>考量整體結構穩定安全，不建議單獨設置地下室。</w:t>
      </w:r>
    </w:p>
    <w:p w14:paraId="0955B835" w14:textId="1F3DCB54" w:rsidR="00962938" w:rsidRDefault="00962938" w:rsidP="00962938">
      <w:pPr>
        <w:pStyle w:val="2"/>
        <w:numPr>
          <w:ilvl w:val="1"/>
          <w:numId w:val="10"/>
        </w:numPr>
        <w:spacing w:line="460" w:lineRule="exact"/>
        <w:jc w:val="both"/>
        <w:rPr>
          <w:rFonts w:ascii="標楷體" w:hAnsi="標楷體"/>
          <w:szCs w:val="28"/>
        </w:rPr>
      </w:pPr>
      <w:r w:rsidRPr="00962938">
        <w:rPr>
          <w:rFonts w:ascii="標楷體" w:hAnsi="標楷體" w:hint="eastAsia"/>
          <w:szCs w:val="28"/>
        </w:rPr>
        <w:t>停車位規定：停車位皆統一設置於戶外退縮前院，建物</w:t>
      </w:r>
      <w:proofErr w:type="gramStart"/>
      <w:r w:rsidRPr="00962938">
        <w:rPr>
          <w:rFonts w:ascii="標楷體" w:hAnsi="標楷體" w:hint="eastAsia"/>
          <w:szCs w:val="28"/>
        </w:rPr>
        <w:t>外牆須配合</w:t>
      </w:r>
      <w:proofErr w:type="gramEnd"/>
      <w:r w:rsidRPr="00962938">
        <w:rPr>
          <w:rFonts w:ascii="標楷體" w:hAnsi="標楷體" w:hint="eastAsia"/>
          <w:szCs w:val="28"/>
        </w:rPr>
        <w:t>退縮。</w:t>
      </w:r>
    </w:p>
    <w:p w14:paraId="20AE1AD4" w14:textId="6C5011E2" w:rsidR="00962938" w:rsidRDefault="00962938" w:rsidP="00962938">
      <w:pPr>
        <w:pStyle w:val="2"/>
        <w:numPr>
          <w:ilvl w:val="1"/>
          <w:numId w:val="10"/>
        </w:numPr>
        <w:spacing w:line="460" w:lineRule="exact"/>
        <w:jc w:val="both"/>
        <w:rPr>
          <w:rFonts w:ascii="標楷體" w:hAnsi="標楷體"/>
          <w:szCs w:val="28"/>
        </w:rPr>
      </w:pPr>
      <w:r w:rsidRPr="00962938">
        <w:rPr>
          <w:rFonts w:ascii="標楷體" w:hAnsi="標楷體" w:hint="eastAsia"/>
          <w:szCs w:val="28"/>
        </w:rPr>
        <w:t>屋頂形式：</w:t>
      </w:r>
    </w:p>
    <w:p w14:paraId="07BB6398" w14:textId="77777777" w:rsidR="00962938" w:rsidRPr="00962938" w:rsidRDefault="00962938" w:rsidP="00962938">
      <w:pPr>
        <w:pStyle w:val="2"/>
        <w:numPr>
          <w:ilvl w:val="2"/>
          <w:numId w:val="10"/>
        </w:numPr>
        <w:spacing w:line="460" w:lineRule="exact"/>
        <w:jc w:val="both"/>
        <w:rPr>
          <w:rFonts w:ascii="標楷體" w:hAnsi="標楷體" w:hint="eastAsia"/>
          <w:szCs w:val="28"/>
        </w:rPr>
      </w:pPr>
      <w:r w:rsidRPr="00962938">
        <w:rPr>
          <w:rFonts w:ascii="標楷體" w:hAnsi="標楷體" w:hint="eastAsia"/>
          <w:szCs w:val="28"/>
        </w:rPr>
        <w:t>屋頂一律</w:t>
      </w:r>
      <w:proofErr w:type="gramStart"/>
      <w:r w:rsidRPr="00962938">
        <w:rPr>
          <w:rFonts w:ascii="標楷體" w:hAnsi="標楷體" w:hint="eastAsia"/>
          <w:szCs w:val="28"/>
        </w:rPr>
        <w:t>採用斜</w:t>
      </w:r>
      <w:proofErr w:type="gramEnd"/>
      <w:r w:rsidRPr="00962938">
        <w:rPr>
          <w:rFonts w:ascii="標楷體" w:hAnsi="標楷體" w:hint="eastAsia"/>
          <w:szCs w:val="28"/>
        </w:rPr>
        <w:t>屋頂形式。</w:t>
      </w:r>
    </w:p>
    <w:p w14:paraId="3AE8701F" w14:textId="5DFDEFD2" w:rsidR="00962938" w:rsidRPr="00962938" w:rsidRDefault="00962938" w:rsidP="00962938">
      <w:pPr>
        <w:pStyle w:val="2"/>
        <w:numPr>
          <w:ilvl w:val="2"/>
          <w:numId w:val="10"/>
        </w:numPr>
        <w:spacing w:line="460" w:lineRule="exact"/>
        <w:jc w:val="both"/>
        <w:rPr>
          <w:rFonts w:ascii="標楷體" w:hAnsi="標楷體" w:hint="eastAsia"/>
          <w:szCs w:val="28"/>
        </w:rPr>
      </w:pPr>
      <w:r w:rsidRPr="00962938">
        <w:rPr>
          <w:rFonts w:ascii="標楷體" w:hAnsi="標楷體" w:hint="eastAsia"/>
          <w:szCs w:val="28"/>
        </w:rPr>
        <w:t>斜屋頂一律使用中脊</w:t>
      </w:r>
      <w:proofErr w:type="gramStart"/>
      <w:r w:rsidRPr="00962938">
        <w:rPr>
          <w:rFonts w:ascii="標楷體" w:hAnsi="標楷體" w:hint="eastAsia"/>
          <w:szCs w:val="28"/>
        </w:rPr>
        <w:t>前後斜</w:t>
      </w:r>
      <w:proofErr w:type="gramEnd"/>
      <w:r w:rsidRPr="00962938">
        <w:rPr>
          <w:rFonts w:ascii="標楷體" w:hAnsi="標楷體" w:hint="eastAsia"/>
          <w:szCs w:val="28"/>
        </w:rPr>
        <w:t>方式，屋脊高屋簷差一點八至一點五公尺。</w:t>
      </w:r>
    </w:p>
    <w:p w14:paraId="02222E0E" w14:textId="71E62B45" w:rsidR="00962938" w:rsidRPr="00962938" w:rsidRDefault="00962938" w:rsidP="00962938">
      <w:pPr>
        <w:pStyle w:val="2"/>
        <w:numPr>
          <w:ilvl w:val="2"/>
          <w:numId w:val="10"/>
        </w:numPr>
        <w:spacing w:line="460" w:lineRule="exact"/>
        <w:jc w:val="both"/>
        <w:rPr>
          <w:rFonts w:ascii="標楷體" w:hAnsi="標楷體" w:hint="eastAsia"/>
          <w:szCs w:val="28"/>
        </w:rPr>
      </w:pPr>
      <w:r w:rsidRPr="00962938">
        <w:rPr>
          <w:rFonts w:ascii="標楷體" w:hAnsi="標楷體" w:hint="eastAsia"/>
          <w:szCs w:val="28"/>
        </w:rPr>
        <w:t>為管制整體意象，屋頂水塔不得裸露</w:t>
      </w:r>
      <w:proofErr w:type="gramStart"/>
      <w:r w:rsidRPr="00962938">
        <w:rPr>
          <w:rFonts w:ascii="標楷體" w:hAnsi="標楷體" w:hint="eastAsia"/>
          <w:szCs w:val="28"/>
        </w:rPr>
        <w:t>須以牆面</w:t>
      </w:r>
      <w:proofErr w:type="gramEnd"/>
      <w:r w:rsidRPr="00962938">
        <w:rPr>
          <w:rFonts w:ascii="標楷體" w:hAnsi="標楷體" w:hint="eastAsia"/>
          <w:szCs w:val="28"/>
        </w:rPr>
        <w:t>包覆。</w:t>
      </w:r>
    </w:p>
    <w:p w14:paraId="56CB03E3" w14:textId="581DFBD1" w:rsidR="00962938" w:rsidRDefault="00962938" w:rsidP="00962938">
      <w:pPr>
        <w:pStyle w:val="2"/>
        <w:numPr>
          <w:ilvl w:val="2"/>
          <w:numId w:val="10"/>
        </w:numPr>
        <w:spacing w:line="460" w:lineRule="exact"/>
        <w:jc w:val="both"/>
        <w:rPr>
          <w:rFonts w:ascii="標楷體" w:hAnsi="標楷體"/>
          <w:szCs w:val="28"/>
        </w:rPr>
      </w:pPr>
      <w:r w:rsidRPr="00962938">
        <w:rPr>
          <w:rFonts w:ascii="標楷體" w:hAnsi="標楷體" w:hint="eastAsia"/>
          <w:szCs w:val="28"/>
        </w:rPr>
        <w:t>電梯機房突出於屋頂外觀須考量整體協調，</w:t>
      </w:r>
      <w:proofErr w:type="gramStart"/>
      <w:r w:rsidRPr="00962938">
        <w:rPr>
          <w:rFonts w:ascii="標楷體" w:hAnsi="標楷體" w:hint="eastAsia"/>
          <w:szCs w:val="28"/>
        </w:rPr>
        <w:t>外牆須美化</w:t>
      </w:r>
      <w:proofErr w:type="gramEnd"/>
      <w:r w:rsidRPr="00962938">
        <w:rPr>
          <w:rFonts w:ascii="標楷體" w:hAnsi="標楷體" w:hint="eastAsia"/>
          <w:szCs w:val="28"/>
        </w:rPr>
        <w:t>處理。</w:t>
      </w:r>
    </w:p>
    <w:p w14:paraId="11526DE0" w14:textId="1BCBCBCF" w:rsidR="00962938" w:rsidRDefault="00962938" w:rsidP="00962938">
      <w:pPr>
        <w:pStyle w:val="2"/>
        <w:numPr>
          <w:ilvl w:val="1"/>
          <w:numId w:val="10"/>
        </w:numPr>
        <w:spacing w:line="460" w:lineRule="exact"/>
        <w:jc w:val="both"/>
        <w:rPr>
          <w:rFonts w:ascii="標楷體" w:hAnsi="標楷體"/>
          <w:szCs w:val="28"/>
        </w:rPr>
      </w:pPr>
      <w:r w:rsidRPr="00962938">
        <w:rPr>
          <w:rFonts w:ascii="標楷體" w:hAnsi="標楷體" w:hint="eastAsia"/>
          <w:szCs w:val="28"/>
        </w:rPr>
        <w:t>分戶處理原則：</w:t>
      </w:r>
    </w:p>
    <w:p w14:paraId="74569199" w14:textId="5E95B39B" w:rsidR="00962938" w:rsidRDefault="00962938" w:rsidP="00962938">
      <w:pPr>
        <w:pStyle w:val="2"/>
        <w:numPr>
          <w:ilvl w:val="2"/>
          <w:numId w:val="10"/>
        </w:numPr>
        <w:spacing w:line="460" w:lineRule="exact"/>
        <w:jc w:val="both"/>
        <w:rPr>
          <w:rFonts w:ascii="標楷體" w:hAnsi="標楷體"/>
          <w:szCs w:val="28"/>
        </w:rPr>
      </w:pPr>
      <w:r w:rsidRPr="00962938">
        <w:rPr>
          <w:rFonts w:ascii="標楷體" w:hAnsi="標楷體" w:hint="eastAsia"/>
          <w:szCs w:val="28"/>
        </w:rPr>
        <w:t>地界線之分戶處理需以十五公分鋼筋混凝土外牆或二十四</w:t>
      </w:r>
      <w:proofErr w:type="gramStart"/>
      <w:r w:rsidRPr="00962938">
        <w:rPr>
          <w:rFonts w:ascii="標楷體" w:hAnsi="標楷體" w:hint="eastAsia"/>
          <w:szCs w:val="28"/>
        </w:rPr>
        <w:t>公分(</w:t>
      </w:r>
      <w:proofErr w:type="gramEnd"/>
      <w:r w:rsidRPr="00962938">
        <w:rPr>
          <w:rFonts w:ascii="標楷體" w:hAnsi="標楷體" w:hint="eastAsia"/>
          <w:szCs w:val="28"/>
        </w:rPr>
        <w:t>一個</w:t>
      </w:r>
      <w:proofErr w:type="gramStart"/>
      <w:r w:rsidRPr="00962938">
        <w:rPr>
          <w:rFonts w:ascii="標楷體" w:hAnsi="標楷體" w:hint="eastAsia"/>
          <w:szCs w:val="28"/>
        </w:rPr>
        <w:t>標準全磚長度</w:t>
      </w:r>
      <w:proofErr w:type="gramEnd"/>
      <w:r w:rsidRPr="00962938">
        <w:rPr>
          <w:rFonts w:ascii="標楷體" w:hAnsi="標楷體" w:hint="eastAsia"/>
          <w:szCs w:val="28"/>
        </w:rPr>
        <w:t>)磚牆分</w:t>
      </w:r>
      <w:proofErr w:type="gramStart"/>
      <w:r w:rsidRPr="00962938">
        <w:rPr>
          <w:rFonts w:ascii="標楷體" w:hAnsi="標楷體" w:hint="eastAsia"/>
          <w:szCs w:val="28"/>
        </w:rPr>
        <w:t>戶砌築。</w:t>
      </w:r>
      <w:proofErr w:type="gramEnd"/>
    </w:p>
    <w:p w14:paraId="301839CB" w14:textId="35A6D8A4" w:rsidR="00962938" w:rsidRDefault="00962938" w:rsidP="00962938">
      <w:pPr>
        <w:pStyle w:val="2"/>
        <w:numPr>
          <w:ilvl w:val="2"/>
          <w:numId w:val="10"/>
        </w:numPr>
        <w:spacing w:line="460" w:lineRule="exact"/>
        <w:jc w:val="both"/>
        <w:rPr>
          <w:rFonts w:ascii="標楷體" w:hAnsi="標楷體"/>
          <w:szCs w:val="28"/>
        </w:rPr>
      </w:pPr>
      <w:r w:rsidRPr="00962938">
        <w:rPr>
          <w:rFonts w:ascii="標楷體" w:hAnsi="標楷體" w:hint="eastAsia"/>
          <w:szCs w:val="28"/>
        </w:rPr>
        <w:t>因租約範圍之約束性之考量，</w:t>
      </w:r>
      <w:proofErr w:type="gramStart"/>
      <w:r w:rsidRPr="00962938">
        <w:rPr>
          <w:rFonts w:ascii="標楷體" w:hAnsi="標楷體" w:hint="eastAsia"/>
          <w:szCs w:val="28"/>
        </w:rPr>
        <w:t>一</w:t>
      </w:r>
      <w:proofErr w:type="gramEnd"/>
      <w:r w:rsidRPr="00962938">
        <w:rPr>
          <w:rFonts w:ascii="標楷體" w:hAnsi="標楷體" w:hint="eastAsia"/>
          <w:szCs w:val="28"/>
        </w:rPr>
        <w:t>基地以設置一戶住宅店鋪單元為原則，但同一配租戶得連通兩戶共用合併設計。</w:t>
      </w:r>
    </w:p>
    <w:p w14:paraId="5CD1E3EB" w14:textId="4150B48B" w:rsidR="00962938" w:rsidRDefault="00962938" w:rsidP="00962938">
      <w:pPr>
        <w:pStyle w:val="2"/>
        <w:numPr>
          <w:ilvl w:val="0"/>
          <w:numId w:val="10"/>
        </w:numPr>
        <w:spacing w:line="460" w:lineRule="exact"/>
        <w:jc w:val="both"/>
        <w:rPr>
          <w:rFonts w:ascii="標楷體" w:hAnsi="標楷體"/>
          <w:szCs w:val="28"/>
        </w:rPr>
      </w:pPr>
      <w:r w:rsidRPr="00962938">
        <w:rPr>
          <w:rFonts w:ascii="標楷體" w:hAnsi="標楷體" w:hint="eastAsia"/>
          <w:szCs w:val="28"/>
        </w:rPr>
        <w:t>申請人應備</w:t>
      </w:r>
      <w:proofErr w:type="gramStart"/>
      <w:r w:rsidRPr="00962938">
        <w:rPr>
          <w:rFonts w:ascii="標楷體" w:hAnsi="標楷體" w:hint="eastAsia"/>
          <w:szCs w:val="28"/>
        </w:rPr>
        <w:t>妥</w:t>
      </w:r>
      <w:proofErr w:type="gramEnd"/>
      <w:r w:rsidRPr="00962938">
        <w:rPr>
          <w:rFonts w:ascii="標楷體" w:hAnsi="標楷體" w:hint="eastAsia"/>
          <w:szCs w:val="28"/>
        </w:rPr>
        <w:t>申請函與景觀及建築設計審議報告書一式十份，寄送或親送本局辦理審議。景觀及建築設計審議報告書之內容，以包括下列各款為原則。但經本局審議通過者，不在此限。</w:t>
      </w:r>
    </w:p>
    <w:p w14:paraId="5FCEC2B3" w14:textId="77777777" w:rsidR="00962938" w:rsidRPr="00962938" w:rsidRDefault="00962938" w:rsidP="00962938">
      <w:pPr>
        <w:pStyle w:val="2"/>
        <w:numPr>
          <w:ilvl w:val="1"/>
          <w:numId w:val="10"/>
        </w:numPr>
        <w:spacing w:line="460" w:lineRule="exact"/>
        <w:jc w:val="both"/>
        <w:rPr>
          <w:rFonts w:ascii="標楷體" w:hAnsi="標楷體" w:hint="eastAsia"/>
          <w:szCs w:val="28"/>
        </w:rPr>
      </w:pPr>
      <w:r w:rsidRPr="00962938">
        <w:rPr>
          <w:rFonts w:ascii="標楷體" w:hAnsi="標楷體" w:hint="eastAsia"/>
          <w:szCs w:val="28"/>
        </w:rPr>
        <w:t>申請書與委託書：載明起造人名稱、住址、電話、設計人名稱、住址電話，設計標的(</w:t>
      </w:r>
      <w:proofErr w:type="gramStart"/>
      <w:r w:rsidRPr="00962938">
        <w:rPr>
          <w:rFonts w:ascii="標楷體" w:hAnsi="標楷體" w:hint="eastAsia"/>
          <w:szCs w:val="28"/>
        </w:rPr>
        <w:t>含案名</w:t>
      </w:r>
      <w:proofErr w:type="gramEnd"/>
      <w:r w:rsidRPr="00962938">
        <w:rPr>
          <w:rFonts w:ascii="標楷體" w:hAnsi="標楷體" w:hint="eastAsia"/>
          <w:szCs w:val="28"/>
        </w:rPr>
        <w:t>、基地座落地號或門牌號碼)及用印，委託書載明受託人及委託人、委託標的並用印。</w:t>
      </w:r>
    </w:p>
    <w:p w14:paraId="1A103D59" w14:textId="3FC77DDA" w:rsidR="00962938" w:rsidRPr="00962938" w:rsidRDefault="00962938" w:rsidP="00962938">
      <w:pPr>
        <w:pStyle w:val="2"/>
        <w:numPr>
          <w:ilvl w:val="1"/>
          <w:numId w:val="10"/>
        </w:numPr>
        <w:spacing w:line="460" w:lineRule="exact"/>
        <w:jc w:val="both"/>
        <w:rPr>
          <w:rFonts w:ascii="標楷體" w:hAnsi="標楷體" w:hint="eastAsia"/>
          <w:szCs w:val="28"/>
        </w:rPr>
      </w:pPr>
      <w:r w:rsidRPr="00962938">
        <w:rPr>
          <w:rFonts w:ascii="標楷體" w:hAnsi="標楷體" w:hint="eastAsia"/>
          <w:szCs w:val="28"/>
        </w:rPr>
        <w:t>基地位置圖(基地現況)：載明基地位置、方位、都市計畫土地使用分區或區域計畫土地使用編定及道路名稱。圖面比例尺不得小於一千二百分之一。</w:t>
      </w:r>
    </w:p>
    <w:p w14:paraId="7C0E3D85" w14:textId="6333F0A8" w:rsidR="00962938" w:rsidRPr="00962938" w:rsidRDefault="00962938" w:rsidP="00962938">
      <w:pPr>
        <w:pStyle w:val="2"/>
        <w:numPr>
          <w:ilvl w:val="1"/>
          <w:numId w:val="10"/>
        </w:numPr>
        <w:spacing w:line="460" w:lineRule="exact"/>
        <w:jc w:val="both"/>
        <w:rPr>
          <w:rFonts w:ascii="標楷體" w:hAnsi="標楷體" w:hint="eastAsia"/>
          <w:szCs w:val="28"/>
        </w:rPr>
      </w:pPr>
      <w:r w:rsidRPr="00962938">
        <w:rPr>
          <w:rFonts w:ascii="標楷體" w:hAnsi="標楷體" w:hint="eastAsia"/>
          <w:szCs w:val="28"/>
        </w:rPr>
        <w:t>開發計畫與法令檢討：簡述分期分區興建計畫，載明各期位置、使用強度、交通、停車、景觀、雨水再利用系統等之連接方式；依據土地使用分區管制要點與都市設計準則，檢核建蔽率、容積率、基地退縮、法定停車位等相關法令要點檢核，並以檢核表逐一檢討。</w:t>
      </w:r>
    </w:p>
    <w:p w14:paraId="495B0E61" w14:textId="1CFEDBB6" w:rsidR="00962938" w:rsidRPr="00962938" w:rsidRDefault="00962938" w:rsidP="00962938">
      <w:pPr>
        <w:pStyle w:val="2"/>
        <w:numPr>
          <w:ilvl w:val="1"/>
          <w:numId w:val="10"/>
        </w:numPr>
        <w:spacing w:line="460" w:lineRule="exact"/>
        <w:jc w:val="both"/>
        <w:rPr>
          <w:rFonts w:ascii="標楷體" w:hAnsi="標楷體" w:hint="eastAsia"/>
          <w:szCs w:val="28"/>
        </w:rPr>
      </w:pPr>
      <w:r w:rsidRPr="00962938">
        <w:rPr>
          <w:rFonts w:ascii="標楷體" w:hAnsi="標楷體" w:hint="eastAsia"/>
          <w:szCs w:val="28"/>
        </w:rPr>
        <w:t>交通動線計畫：說明基地周邊現況交通動線，基地內動線與開口檢討及防災動線規劃。</w:t>
      </w:r>
    </w:p>
    <w:p w14:paraId="45436AD7" w14:textId="7E829045" w:rsidR="00962938" w:rsidRPr="00962938" w:rsidRDefault="00962938" w:rsidP="00962938">
      <w:pPr>
        <w:pStyle w:val="2"/>
        <w:numPr>
          <w:ilvl w:val="1"/>
          <w:numId w:val="10"/>
        </w:numPr>
        <w:spacing w:line="460" w:lineRule="exact"/>
        <w:jc w:val="both"/>
        <w:rPr>
          <w:rFonts w:ascii="標楷體" w:hAnsi="標楷體" w:hint="eastAsia"/>
          <w:szCs w:val="28"/>
        </w:rPr>
      </w:pPr>
      <w:r w:rsidRPr="00962938">
        <w:rPr>
          <w:rFonts w:ascii="標楷體" w:hAnsi="標楷體" w:hint="eastAsia"/>
          <w:szCs w:val="28"/>
        </w:rPr>
        <w:t>建築設計圖說：載明設計概念、基地之方位、地形、四</w:t>
      </w:r>
      <w:proofErr w:type="gramStart"/>
      <w:r w:rsidRPr="00962938">
        <w:rPr>
          <w:rFonts w:ascii="標楷體" w:hAnsi="標楷體" w:hint="eastAsia"/>
          <w:szCs w:val="28"/>
        </w:rPr>
        <w:t>週</w:t>
      </w:r>
      <w:proofErr w:type="gramEnd"/>
      <w:r w:rsidRPr="00962938">
        <w:rPr>
          <w:rFonts w:ascii="標楷體" w:hAnsi="標楷體" w:hint="eastAsia"/>
          <w:szCs w:val="28"/>
        </w:rPr>
        <w:t>道路、附近建築物情況(樓高與位置)、建築物平面、立面、剖面、透視圖、空間用途、外牆顏色及材質及外牆標示物詳圖。</w:t>
      </w:r>
    </w:p>
    <w:p w14:paraId="46669E82" w14:textId="3A8A9037" w:rsidR="00962938" w:rsidRPr="00962938" w:rsidRDefault="00962938" w:rsidP="00962938">
      <w:pPr>
        <w:pStyle w:val="2"/>
        <w:numPr>
          <w:ilvl w:val="1"/>
          <w:numId w:val="10"/>
        </w:numPr>
        <w:spacing w:line="460" w:lineRule="exact"/>
        <w:jc w:val="both"/>
        <w:rPr>
          <w:rFonts w:ascii="標楷體" w:hAnsi="標楷體" w:hint="eastAsia"/>
          <w:szCs w:val="28"/>
        </w:rPr>
      </w:pPr>
      <w:r w:rsidRPr="00962938">
        <w:rPr>
          <w:rFonts w:ascii="標楷體" w:hAnsi="標楷體" w:hint="eastAsia"/>
          <w:szCs w:val="28"/>
        </w:rPr>
        <w:t>景觀設計圖說：載明現有景觀與指標設施位置、現有植栽調查(應標示基地原有植栽之種類、規格、數量及保存、移植與砍伐之說明)、主要道路與分區代表植栽名稱、分區代表顏色；設計之公眾活動區、服務區(裝卸區、垃圾暫存區、地面其他固定設施物等)、基地法定</w:t>
      </w:r>
      <w:proofErr w:type="gramStart"/>
      <w:r w:rsidRPr="00962938">
        <w:rPr>
          <w:rFonts w:ascii="標楷體" w:hAnsi="標楷體" w:hint="eastAsia"/>
          <w:szCs w:val="28"/>
        </w:rPr>
        <w:t>總植栽量</w:t>
      </w:r>
      <w:proofErr w:type="gramEnd"/>
      <w:r w:rsidRPr="00962938">
        <w:rPr>
          <w:rFonts w:ascii="標楷體" w:hAnsi="標楷體" w:hint="eastAsia"/>
          <w:szCs w:val="28"/>
        </w:rPr>
        <w:t>(含中、小型喬木</w:t>
      </w:r>
      <w:proofErr w:type="gramStart"/>
      <w:r w:rsidRPr="00962938">
        <w:rPr>
          <w:rFonts w:ascii="標楷體" w:hAnsi="標楷體" w:hint="eastAsia"/>
          <w:szCs w:val="28"/>
        </w:rPr>
        <w:t>植栽量</w:t>
      </w:r>
      <w:proofErr w:type="gramEnd"/>
      <w:r w:rsidRPr="00962938">
        <w:rPr>
          <w:rFonts w:ascii="標楷體" w:hAnsi="標楷體" w:hint="eastAsia"/>
          <w:szCs w:val="28"/>
        </w:rPr>
        <w:t>)、植栽計畫(應含綠地、遮蔽性綠籬及停車場等之植栽配置，及原有植栽與新植栽之位置與數量計算)、照明系統、各種指標位置、分區代表顏色。</w:t>
      </w:r>
    </w:p>
    <w:p w14:paraId="69DBCA59" w14:textId="70CB6917" w:rsidR="00962938" w:rsidRPr="00962938" w:rsidRDefault="00962938" w:rsidP="00962938">
      <w:pPr>
        <w:pStyle w:val="2"/>
        <w:numPr>
          <w:ilvl w:val="1"/>
          <w:numId w:val="10"/>
        </w:numPr>
        <w:spacing w:line="460" w:lineRule="exact"/>
        <w:jc w:val="both"/>
        <w:rPr>
          <w:rFonts w:ascii="標楷體" w:hAnsi="標楷體" w:hint="eastAsia"/>
          <w:szCs w:val="28"/>
        </w:rPr>
      </w:pPr>
      <w:r w:rsidRPr="00962938">
        <w:rPr>
          <w:rFonts w:ascii="標楷體" w:hAnsi="標楷體" w:hint="eastAsia"/>
          <w:szCs w:val="28"/>
        </w:rPr>
        <w:t>施工圍籬綠美化：載明施工圍籬綠美化之設計及圖示。</w:t>
      </w:r>
    </w:p>
    <w:p w14:paraId="2FEEB277" w14:textId="468B92C3" w:rsidR="00962938" w:rsidRPr="00962938" w:rsidRDefault="00962938" w:rsidP="00962938">
      <w:pPr>
        <w:pStyle w:val="2"/>
        <w:numPr>
          <w:ilvl w:val="1"/>
          <w:numId w:val="10"/>
        </w:numPr>
        <w:spacing w:line="460" w:lineRule="exact"/>
        <w:jc w:val="both"/>
        <w:rPr>
          <w:rFonts w:ascii="標楷體" w:hAnsi="標楷體" w:hint="eastAsia"/>
          <w:szCs w:val="28"/>
        </w:rPr>
      </w:pPr>
      <w:r w:rsidRPr="00962938">
        <w:rPr>
          <w:rFonts w:ascii="標楷體" w:hAnsi="標楷體" w:hint="eastAsia"/>
          <w:szCs w:val="28"/>
        </w:rPr>
        <w:t>綠建築專章與綠建築候選證書檢討。</w:t>
      </w:r>
    </w:p>
    <w:p w14:paraId="73415BEA" w14:textId="738A22F8" w:rsidR="00962938" w:rsidRPr="00962938" w:rsidRDefault="00962938" w:rsidP="00962938">
      <w:pPr>
        <w:pStyle w:val="2"/>
        <w:numPr>
          <w:ilvl w:val="1"/>
          <w:numId w:val="10"/>
        </w:numPr>
        <w:spacing w:line="460" w:lineRule="exact"/>
        <w:jc w:val="both"/>
        <w:rPr>
          <w:rFonts w:ascii="標楷體" w:hAnsi="標楷體" w:hint="eastAsia"/>
          <w:szCs w:val="28"/>
        </w:rPr>
      </w:pPr>
      <w:r w:rsidRPr="00962938">
        <w:rPr>
          <w:rFonts w:ascii="標楷體" w:hAnsi="標楷體" w:hint="eastAsia"/>
          <w:szCs w:val="28"/>
        </w:rPr>
        <w:t>興建期程與相關申請附註文件。</w:t>
      </w:r>
    </w:p>
    <w:p w14:paraId="502B1CD3" w14:textId="7F5E4674" w:rsidR="00962938" w:rsidRDefault="00962938" w:rsidP="00962938">
      <w:pPr>
        <w:pStyle w:val="2"/>
        <w:numPr>
          <w:ilvl w:val="1"/>
          <w:numId w:val="10"/>
        </w:numPr>
        <w:spacing w:line="460" w:lineRule="exact"/>
        <w:jc w:val="both"/>
        <w:rPr>
          <w:rFonts w:ascii="標楷體" w:hAnsi="標楷體"/>
          <w:szCs w:val="28"/>
        </w:rPr>
      </w:pPr>
      <w:r w:rsidRPr="00962938">
        <w:rPr>
          <w:rFonts w:ascii="標楷體" w:hAnsi="標楷體" w:hint="eastAsia"/>
          <w:szCs w:val="28"/>
        </w:rPr>
        <w:t>其他經本局審查之必要附屬文件。</w:t>
      </w:r>
    </w:p>
    <w:p w14:paraId="0339BEE4" w14:textId="63B3050E" w:rsidR="007E6C44" w:rsidRDefault="007E6C44" w:rsidP="007E6C44">
      <w:pPr>
        <w:pStyle w:val="2"/>
        <w:spacing w:line="460" w:lineRule="exact"/>
        <w:ind w:left="560" w:firstLine="0"/>
        <w:jc w:val="both"/>
        <w:rPr>
          <w:rFonts w:ascii="標楷體" w:hAnsi="標楷體" w:hint="eastAsia"/>
          <w:szCs w:val="28"/>
        </w:rPr>
      </w:pPr>
      <w:r w:rsidRPr="007E6C44">
        <w:rPr>
          <w:rFonts w:ascii="標楷體" w:hAnsi="標楷體" w:hint="eastAsia"/>
          <w:szCs w:val="28"/>
        </w:rPr>
        <w:t>經完成審議之案件，申請人應檢附預審報告書(定稿版)一式十份及電子</w:t>
      </w:r>
      <w:proofErr w:type="gramStart"/>
      <w:r w:rsidRPr="007E6C44">
        <w:rPr>
          <w:rFonts w:ascii="標楷體" w:hAnsi="標楷體" w:hint="eastAsia"/>
          <w:szCs w:val="28"/>
        </w:rPr>
        <w:t>檔</w:t>
      </w:r>
      <w:proofErr w:type="gramEnd"/>
      <w:r w:rsidRPr="007E6C44">
        <w:rPr>
          <w:rFonts w:ascii="標楷體" w:hAnsi="標楷體" w:hint="eastAsia"/>
          <w:szCs w:val="28"/>
        </w:rPr>
        <w:t>光碟一份，送本局備查。</w:t>
      </w:r>
    </w:p>
    <w:p w14:paraId="5EC1CBC5" w14:textId="7384F613" w:rsidR="00962938" w:rsidRDefault="007E6C44" w:rsidP="007E6C44">
      <w:pPr>
        <w:pStyle w:val="2"/>
        <w:numPr>
          <w:ilvl w:val="0"/>
          <w:numId w:val="10"/>
        </w:numPr>
        <w:spacing w:line="460" w:lineRule="exact"/>
        <w:jc w:val="both"/>
        <w:rPr>
          <w:rFonts w:ascii="標楷體" w:hAnsi="標楷體"/>
          <w:szCs w:val="28"/>
        </w:rPr>
      </w:pPr>
      <w:r w:rsidRPr="007E6C44">
        <w:rPr>
          <w:rFonts w:ascii="標楷體" w:hAnsi="標楷體" w:hint="eastAsia"/>
          <w:szCs w:val="28"/>
        </w:rPr>
        <w:t>經本局備查之申請案，如符合下列規定，得免再提會審議：</w:t>
      </w:r>
    </w:p>
    <w:p w14:paraId="6C562111" w14:textId="77777777" w:rsidR="007E6C44" w:rsidRPr="007E6C44" w:rsidRDefault="007E6C44" w:rsidP="007E6C44">
      <w:pPr>
        <w:pStyle w:val="2"/>
        <w:numPr>
          <w:ilvl w:val="1"/>
          <w:numId w:val="10"/>
        </w:numPr>
        <w:spacing w:line="460" w:lineRule="exact"/>
        <w:jc w:val="both"/>
        <w:rPr>
          <w:rFonts w:ascii="標楷體" w:hAnsi="標楷體" w:hint="eastAsia"/>
          <w:szCs w:val="28"/>
        </w:rPr>
      </w:pPr>
      <w:r w:rsidRPr="007E6C44">
        <w:rPr>
          <w:rFonts w:ascii="標楷體" w:hAnsi="標楷體" w:hint="eastAsia"/>
          <w:szCs w:val="28"/>
        </w:rPr>
        <w:t>用途變更為影響強度較低或類似用途互換者。</w:t>
      </w:r>
    </w:p>
    <w:p w14:paraId="3F3F8050" w14:textId="515FCD47" w:rsidR="007E6C44" w:rsidRPr="007E6C44" w:rsidRDefault="007E6C44" w:rsidP="007E6C44">
      <w:pPr>
        <w:pStyle w:val="2"/>
        <w:numPr>
          <w:ilvl w:val="1"/>
          <w:numId w:val="10"/>
        </w:numPr>
        <w:spacing w:line="460" w:lineRule="exact"/>
        <w:jc w:val="both"/>
        <w:rPr>
          <w:rFonts w:ascii="標楷體" w:hAnsi="標楷體" w:hint="eastAsia"/>
          <w:szCs w:val="28"/>
        </w:rPr>
      </w:pPr>
      <w:r w:rsidRPr="007E6C44">
        <w:rPr>
          <w:rFonts w:ascii="標楷體" w:hAnsi="標楷體" w:hint="eastAsia"/>
          <w:szCs w:val="28"/>
        </w:rPr>
        <w:t>變更附屬設施未影響景觀者。</w:t>
      </w:r>
    </w:p>
    <w:p w14:paraId="022A4FB6" w14:textId="6352FD73" w:rsidR="007E6C44" w:rsidRPr="007E6C44" w:rsidRDefault="007E6C44" w:rsidP="007E6C44">
      <w:pPr>
        <w:pStyle w:val="2"/>
        <w:numPr>
          <w:ilvl w:val="1"/>
          <w:numId w:val="10"/>
        </w:numPr>
        <w:spacing w:line="460" w:lineRule="exact"/>
        <w:jc w:val="both"/>
        <w:rPr>
          <w:rFonts w:ascii="標楷體" w:hAnsi="標楷體" w:hint="eastAsia"/>
          <w:szCs w:val="28"/>
        </w:rPr>
      </w:pPr>
      <w:r w:rsidRPr="007E6C44">
        <w:rPr>
          <w:rFonts w:ascii="標楷體" w:hAnsi="標楷體" w:hint="eastAsia"/>
          <w:szCs w:val="28"/>
        </w:rPr>
        <w:t>景觀綠化係同一種別植栽種(樹種</w:t>
      </w:r>
      <w:proofErr w:type="gramStart"/>
      <w:r w:rsidRPr="007E6C44">
        <w:rPr>
          <w:rFonts w:ascii="標楷體" w:hAnsi="標楷體" w:hint="eastAsia"/>
          <w:szCs w:val="28"/>
        </w:rPr>
        <w:t>或草種</w:t>
      </w:r>
      <w:proofErr w:type="gramEnd"/>
      <w:r w:rsidRPr="007E6C44">
        <w:rPr>
          <w:rFonts w:ascii="標楷體" w:hAnsi="標楷體" w:hint="eastAsia"/>
          <w:szCs w:val="28"/>
        </w:rPr>
        <w:t>)變更者。</w:t>
      </w:r>
    </w:p>
    <w:p w14:paraId="2C40BA02" w14:textId="48B77C89" w:rsidR="007E6C44" w:rsidRPr="007E6C44" w:rsidRDefault="007E6C44" w:rsidP="007E6C44">
      <w:pPr>
        <w:pStyle w:val="2"/>
        <w:numPr>
          <w:ilvl w:val="1"/>
          <w:numId w:val="10"/>
        </w:numPr>
        <w:spacing w:line="460" w:lineRule="exact"/>
        <w:jc w:val="both"/>
        <w:rPr>
          <w:rFonts w:ascii="標楷體" w:hAnsi="標楷體" w:hint="eastAsia"/>
          <w:szCs w:val="28"/>
        </w:rPr>
      </w:pPr>
      <w:r w:rsidRPr="007E6C44">
        <w:rPr>
          <w:rFonts w:ascii="標楷體" w:hAnsi="標楷體" w:hint="eastAsia"/>
          <w:szCs w:val="28"/>
        </w:rPr>
        <w:t>不調整立面開口面積之門窗形式、欄杆形式變更者。</w:t>
      </w:r>
    </w:p>
    <w:p w14:paraId="4A2C9DBE" w14:textId="423181C4" w:rsidR="007E6C44" w:rsidRPr="007E6C44" w:rsidRDefault="007E6C44" w:rsidP="007E6C44">
      <w:pPr>
        <w:pStyle w:val="2"/>
        <w:numPr>
          <w:ilvl w:val="1"/>
          <w:numId w:val="10"/>
        </w:numPr>
        <w:spacing w:line="460" w:lineRule="exact"/>
        <w:jc w:val="both"/>
        <w:rPr>
          <w:rFonts w:ascii="標楷體" w:hAnsi="標楷體" w:hint="eastAsia"/>
          <w:szCs w:val="28"/>
        </w:rPr>
      </w:pPr>
      <w:r w:rsidRPr="007E6C44">
        <w:rPr>
          <w:rFonts w:ascii="標楷體" w:hAnsi="標楷體" w:hint="eastAsia"/>
          <w:szCs w:val="28"/>
        </w:rPr>
        <w:t>建築物內部空間調整者。</w:t>
      </w:r>
    </w:p>
    <w:p w14:paraId="4EE1395A" w14:textId="264AEBC8" w:rsidR="007E6C44" w:rsidRPr="008E19A0" w:rsidRDefault="007E6C44" w:rsidP="007E6C44">
      <w:pPr>
        <w:pStyle w:val="2"/>
        <w:numPr>
          <w:ilvl w:val="1"/>
          <w:numId w:val="10"/>
        </w:numPr>
        <w:spacing w:line="460" w:lineRule="exact"/>
        <w:jc w:val="both"/>
        <w:rPr>
          <w:rFonts w:ascii="標楷體" w:hAnsi="標楷體" w:hint="eastAsia"/>
          <w:szCs w:val="28"/>
        </w:rPr>
      </w:pPr>
      <w:r w:rsidRPr="007E6C44">
        <w:rPr>
          <w:rFonts w:ascii="標楷體" w:hAnsi="標楷體" w:hint="eastAsia"/>
          <w:szCs w:val="28"/>
        </w:rPr>
        <w:t>其他經本局認定者。</w:t>
      </w:r>
    </w:p>
    <w:sectPr w:rsidR="007E6C44" w:rsidRPr="008E19A0" w:rsidSect="008E19A0">
      <w:footerReference w:type="default" r:id="rId7"/>
      <w:pgSz w:w="11906" w:h="16838" w:code="9"/>
      <w:pgMar w:top="1440" w:right="1841"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47E24E" w14:textId="77777777" w:rsidR="000336A0" w:rsidRDefault="000336A0" w:rsidP="00B84333">
      <w:r>
        <w:separator/>
      </w:r>
    </w:p>
  </w:endnote>
  <w:endnote w:type="continuationSeparator" w:id="0">
    <w:p w14:paraId="2FAD250E" w14:textId="77777777" w:rsidR="000336A0" w:rsidRDefault="000336A0" w:rsidP="00B84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11940" w14:textId="77777777" w:rsidR="001254A5" w:rsidRDefault="00E2106B">
    <w:pPr>
      <w:pStyle w:val="a6"/>
      <w:jc w:val="center"/>
    </w:pPr>
    <w:r>
      <w:fldChar w:fldCharType="begin"/>
    </w:r>
    <w:r>
      <w:instrText xml:space="preserve"> PAGE   \* MERGEFORMAT </w:instrText>
    </w:r>
    <w:r>
      <w:fldChar w:fldCharType="separate"/>
    </w:r>
    <w:r w:rsidR="007B26FC" w:rsidRPr="007B26FC">
      <w:rPr>
        <w:noProof/>
        <w:lang w:val="zh-TW"/>
      </w:rPr>
      <w:t>1</w:t>
    </w:r>
    <w:r>
      <w:rPr>
        <w:noProof/>
        <w:lang w:val="zh-TW"/>
      </w:rPr>
      <w:fldChar w:fldCharType="end"/>
    </w:r>
  </w:p>
  <w:p w14:paraId="5B02B19F" w14:textId="77777777" w:rsidR="001254A5" w:rsidRDefault="001254A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9A63C6" w14:textId="77777777" w:rsidR="000336A0" w:rsidRDefault="000336A0" w:rsidP="00B84333">
      <w:r>
        <w:separator/>
      </w:r>
    </w:p>
  </w:footnote>
  <w:footnote w:type="continuationSeparator" w:id="0">
    <w:p w14:paraId="439B03E3" w14:textId="77777777" w:rsidR="000336A0" w:rsidRDefault="000336A0" w:rsidP="00B843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34D0C"/>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1" w15:restartNumberingAfterBreak="0">
    <w:nsid w:val="2745293B"/>
    <w:multiLevelType w:val="multilevel"/>
    <w:tmpl w:val="48F0ADC6"/>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2" w15:restartNumberingAfterBreak="0">
    <w:nsid w:val="2FF932C9"/>
    <w:multiLevelType w:val="multilevel"/>
    <w:tmpl w:val="E10896AA"/>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400" w:hanging="84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3" w15:restartNumberingAfterBreak="0">
    <w:nsid w:val="39DE3FD0"/>
    <w:multiLevelType w:val="hybridMultilevel"/>
    <w:tmpl w:val="E1809216"/>
    <w:lvl w:ilvl="0" w:tplc="274E3CD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AF7DB3"/>
    <w:multiLevelType w:val="multilevel"/>
    <w:tmpl w:val="843C8FFE"/>
    <w:lvl w:ilvl="0">
      <w:start w:val="7"/>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5" w15:restartNumberingAfterBreak="0">
    <w:nsid w:val="3B77021D"/>
    <w:multiLevelType w:val="hybridMultilevel"/>
    <w:tmpl w:val="C28ACDB8"/>
    <w:lvl w:ilvl="0" w:tplc="D6A29FD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463572E"/>
    <w:multiLevelType w:val="multilevel"/>
    <w:tmpl w:val="EA462F96"/>
    <w:lvl w:ilvl="0">
      <w:start w:val="1"/>
      <w:numFmt w:val="taiwaneseCountingThousand"/>
      <w:lvlText w:val="%1、"/>
      <w:lvlJc w:val="left"/>
      <w:pPr>
        <w:ind w:left="0" w:firstLine="0"/>
      </w:pPr>
      <w:rPr>
        <w:rFonts w:hint="eastAsia"/>
      </w:rPr>
    </w:lvl>
    <w:lvl w:ilvl="1">
      <w:start w:val="1"/>
      <w:numFmt w:val="taiwaneseCountingThousand"/>
      <w:lvlText w:val="（%2）"/>
      <w:lvlJc w:val="left"/>
      <w:pPr>
        <w:ind w:left="561" w:firstLine="0"/>
      </w:pPr>
      <w:rPr>
        <w:rFonts w:hint="eastAsia"/>
      </w:rPr>
    </w:lvl>
    <w:lvl w:ilvl="2">
      <w:start w:val="1"/>
      <w:numFmt w:val="lowerRoman"/>
      <w:lvlText w:val="%3."/>
      <w:lvlJc w:val="right"/>
      <w:pPr>
        <w:ind w:left="1122" w:firstLine="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abstractNum w:abstractNumId="7" w15:restartNumberingAfterBreak="0">
    <w:nsid w:val="485E766F"/>
    <w:multiLevelType w:val="hybridMultilevel"/>
    <w:tmpl w:val="05087A76"/>
    <w:lvl w:ilvl="0" w:tplc="73AC2ADC">
      <w:start w:val="1"/>
      <w:numFmt w:val="taiwaneseCountingThousand"/>
      <w:lvlText w:val="(%1)"/>
      <w:lvlJc w:val="left"/>
      <w:pPr>
        <w:tabs>
          <w:tab w:val="num" w:pos="1011"/>
        </w:tabs>
        <w:ind w:left="1011" w:hanging="465"/>
      </w:pPr>
      <w:rPr>
        <w:rFonts w:hint="eastAsia"/>
      </w:rPr>
    </w:lvl>
    <w:lvl w:ilvl="1" w:tplc="9B56D340">
      <w:start w:val="1"/>
      <w:numFmt w:val="decimal"/>
      <w:lvlText w:val="%2."/>
      <w:lvlJc w:val="left"/>
      <w:pPr>
        <w:tabs>
          <w:tab w:val="num" w:pos="1386"/>
        </w:tabs>
        <w:ind w:left="1386" w:hanging="360"/>
      </w:pPr>
      <w:rPr>
        <w:rFonts w:hint="eastAsia"/>
      </w:rPr>
    </w:lvl>
    <w:lvl w:ilvl="2" w:tplc="0409001B" w:tentative="1">
      <w:start w:val="1"/>
      <w:numFmt w:val="lowerRoman"/>
      <w:lvlText w:val="%3."/>
      <w:lvlJc w:val="right"/>
      <w:pPr>
        <w:tabs>
          <w:tab w:val="num" w:pos="1986"/>
        </w:tabs>
        <w:ind w:left="1986" w:hanging="480"/>
      </w:pPr>
    </w:lvl>
    <w:lvl w:ilvl="3" w:tplc="0409000F" w:tentative="1">
      <w:start w:val="1"/>
      <w:numFmt w:val="decimal"/>
      <w:lvlText w:val="%4."/>
      <w:lvlJc w:val="left"/>
      <w:pPr>
        <w:tabs>
          <w:tab w:val="num" w:pos="2466"/>
        </w:tabs>
        <w:ind w:left="2466" w:hanging="480"/>
      </w:pPr>
    </w:lvl>
    <w:lvl w:ilvl="4" w:tplc="04090019" w:tentative="1">
      <w:start w:val="1"/>
      <w:numFmt w:val="ideographTraditional"/>
      <w:lvlText w:val="%5、"/>
      <w:lvlJc w:val="left"/>
      <w:pPr>
        <w:tabs>
          <w:tab w:val="num" w:pos="2946"/>
        </w:tabs>
        <w:ind w:left="2946" w:hanging="480"/>
      </w:pPr>
    </w:lvl>
    <w:lvl w:ilvl="5" w:tplc="0409001B" w:tentative="1">
      <w:start w:val="1"/>
      <w:numFmt w:val="lowerRoman"/>
      <w:lvlText w:val="%6."/>
      <w:lvlJc w:val="right"/>
      <w:pPr>
        <w:tabs>
          <w:tab w:val="num" w:pos="3426"/>
        </w:tabs>
        <w:ind w:left="3426" w:hanging="480"/>
      </w:pPr>
    </w:lvl>
    <w:lvl w:ilvl="6" w:tplc="0409000F" w:tentative="1">
      <w:start w:val="1"/>
      <w:numFmt w:val="decimal"/>
      <w:lvlText w:val="%7."/>
      <w:lvlJc w:val="left"/>
      <w:pPr>
        <w:tabs>
          <w:tab w:val="num" w:pos="3906"/>
        </w:tabs>
        <w:ind w:left="3906" w:hanging="480"/>
      </w:pPr>
    </w:lvl>
    <w:lvl w:ilvl="7" w:tplc="04090019" w:tentative="1">
      <w:start w:val="1"/>
      <w:numFmt w:val="ideographTraditional"/>
      <w:lvlText w:val="%8、"/>
      <w:lvlJc w:val="left"/>
      <w:pPr>
        <w:tabs>
          <w:tab w:val="num" w:pos="4386"/>
        </w:tabs>
        <w:ind w:left="4386" w:hanging="480"/>
      </w:pPr>
    </w:lvl>
    <w:lvl w:ilvl="8" w:tplc="0409001B" w:tentative="1">
      <w:start w:val="1"/>
      <w:numFmt w:val="lowerRoman"/>
      <w:lvlText w:val="%9."/>
      <w:lvlJc w:val="right"/>
      <w:pPr>
        <w:tabs>
          <w:tab w:val="num" w:pos="4866"/>
        </w:tabs>
        <w:ind w:left="4866" w:hanging="480"/>
      </w:pPr>
    </w:lvl>
  </w:abstractNum>
  <w:abstractNum w:abstractNumId="8" w15:restartNumberingAfterBreak="0">
    <w:nsid w:val="64C47253"/>
    <w:multiLevelType w:val="multilevel"/>
    <w:tmpl w:val="40A45E7E"/>
    <w:lvl w:ilvl="0">
      <w:start w:val="1"/>
      <w:numFmt w:val="taiwaneseCountingThousand"/>
      <w:lvlText w:val="(%1)"/>
      <w:lvlJc w:val="left"/>
      <w:pPr>
        <w:ind w:left="1044" w:hanging="480"/>
      </w:pPr>
      <w:rPr>
        <w:rFonts w:hint="eastAsia"/>
      </w:rPr>
    </w:lvl>
    <w:lvl w:ilvl="1">
      <w:start w:val="1"/>
      <w:numFmt w:val="ideographTraditional"/>
      <w:lvlText w:val="%2、"/>
      <w:lvlJc w:val="left"/>
      <w:pPr>
        <w:ind w:left="1524" w:hanging="480"/>
      </w:pPr>
      <w:rPr>
        <w:rFonts w:hint="eastAsia"/>
      </w:rPr>
    </w:lvl>
    <w:lvl w:ilvl="2">
      <w:start w:val="1"/>
      <w:numFmt w:val="lowerRoman"/>
      <w:lvlText w:val="%3."/>
      <w:lvlJc w:val="right"/>
      <w:pPr>
        <w:ind w:left="2004" w:hanging="480"/>
      </w:pPr>
      <w:rPr>
        <w:rFonts w:hint="eastAsia"/>
      </w:rPr>
    </w:lvl>
    <w:lvl w:ilvl="3">
      <w:start w:val="1"/>
      <w:numFmt w:val="decimal"/>
      <w:lvlText w:val="%4."/>
      <w:lvlJc w:val="left"/>
      <w:pPr>
        <w:ind w:left="2484" w:hanging="480"/>
      </w:pPr>
      <w:rPr>
        <w:rFonts w:hint="eastAsia"/>
      </w:rPr>
    </w:lvl>
    <w:lvl w:ilvl="4">
      <w:start w:val="1"/>
      <w:numFmt w:val="ideographTraditional"/>
      <w:lvlText w:val="%5、"/>
      <w:lvlJc w:val="left"/>
      <w:pPr>
        <w:ind w:left="2964" w:hanging="480"/>
      </w:pPr>
      <w:rPr>
        <w:rFonts w:hint="eastAsia"/>
      </w:rPr>
    </w:lvl>
    <w:lvl w:ilvl="5">
      <w:start w:val="1"/>
      <w:numFmt w:val="lowerRoman"/>
      <w:lvlText w:val="%6."/>
      <w:lvlJc w:val="right"/>
      <w:pPr>
        <w:ind w:left="3444" w:hanging="480"/>
      </w:pPr>
      <w:rPr>
        <w:rFonts w:hint="eastAsia"/>
      </w:rPr>
    </w:lvl>
    <w:lvl w:ilvl="6">
      <w:start w:val="1"/>
      <w:numFmt w:val="decimal"/>
      <w:lvlText w:val="%7."/>
      <w:lvlJc w:val="left"/>
      <w:pPr>
        <w:ind w:left="3924" w:hanging="480"/>
      </w:pPr>
      <w:rPr>
        <w:rFonts w:hint="eastAsia"/>
      </w:rPr>
    </w:lvl>
    <w:lvl w:ilvl="7">
      <w:start w:val="1"/>
      <w:numFmt w:val="ideographTraditional"/>
      <w:lvlText w:val="%8、"/>
      <w:lvlJc w:val="left"/>
      <w:pPr>
        <w:ind w:left="4404" w:hanging="480"/>
      </w:pPr>
      <w:rPr>
        <w:rFonts w:hint="eastAsia"/>
      </w:rPr>
    </w:lvl>
    <w:lvl w:ilvl="8">
      <w:start w:val="1"/>
      <w:numFmt w:val="lowerRoman"/>
      <w:lvlText w:val="%9."/>
      <w:lvlJc w:val="right"/>
      <w:pPr>
        <w:ind w:left="4884" w:hanging="480"/>
      </w:pPr>
      <w:rPr>
        <w:rFonts w:hint="eastAsia"/>
      </w:rPr>
    </w:lvl>
  </w:abstractNum>
  <w:abstractNum w:abstractNumId="9" w15:restartNumberingAfterBreak="0">
    <w:nsid w:val="65B5258A"/>
    <w:multiLevelType w:val="multilevel"/>
    <w:tmpl w:val="10BE86A0"/>
    <w:lvl w:ilvl="0">
      <w:start w:val="1"/>
      <w:numFmt w:val="taiwaneseCountingThousand"/>
      <w:lvlText w:val="%1、"/>
      <w:lvlJc w:val="left"/>
      <w:pPr>
        <w:ind w:left="482" w:hanging="482"/>
      </w:pPr>
      <w:rPr>
        <w:rFonts w:hint="eastAsia"/>
      </w:rPr>
    </w:lvl>
    <w:lvl w:ilvl="1">
      <w:start w:val="1"/>
      <w:numFmt w:val="taiwaneseCountingThousand"/>
      <w:lvlText w:val="（%2）"/>
      <w:lvlJc w:val="left"/>
      <w:pPr>
        <w:ind w:left="1042" w:hanging="482"/>
      </w:pPr>
      <w:rPr>
        <w:rFonts w:hint="eastAsia"/>
      </w:rPr>
    </w:lvl>
    <w:lvl w:ilvl="2">
      <w:start w:val="1"/>
      <w:numFmt w:val="lowerRoman"/>
      <w:lvlText w:val="%3."/>
      <w:lvlJc w:val="right"/>
      <w:pPr>
        <w:ind w:left="1602" w:hanging="482"/>
      </w:pPr>
      <w:rPr>
        <w:rFonts w:hint="eastAsia"/>
      </w:rPr>
    </w:lvl>
    <w:lvl w:ilvl="3">
      <w:start w:val="1"/>
      <w:numFmt w:val="decimal"/>
      <w:lvlText w:val="%4."/>
      <w:lvlJc w:val="left"/>
      <w:pPr>
        <w:ind w:left="2162" w:hanging="482"/>
      </w:pPr>
      <w:rPr>
        <w:rFonts w:hint="eastAsia"/>
      </w:rPr>
    </w:lvl>
    <w:lvl w:ilvl="4">
      <w:start w:val="1"/>
      <w:numFmt w:val="ideographTraditional"/>
      <w:lvlText w:val="%5、"/>
      <w:lvlJc w:val="left"/>
      <w:pPr>
        <w:ind w:left="2722" w:hanging="482"/>
      </w:pPr>
      <w:rPr>
        <w:rFonts w:hint="eastAsia"/>
      </w:rPr>
    </w:lvl>
    <w:lvl w:ilvl="5">
      <w:start w:val="1"/>
      <w:numFmt w:val="lowerRoman"/>
      <w:lvlText w:val="%6."/>
      <w:lvlJc w:val="right"/>
      <w:pPr>
        <w:ind w:left="3282" w:hanging="482"/>
      </w:pPr>
      <w:rPr>
        <w:rFonts w:hint="eastAsia"/>
      </w:rPr>
    </w:lvl>
    <w:lvl w:ilvl="6">
      <w:start w:val="1"/>
      <w:numFmt w:val="decimal"/>
      <w:lvlText w:val="%7."/>
      <w:lvlJc w:val="left"/>
      <w:pPr>
        <w:ind w:left="3842" w:hanging="482"/>
      </w:pPr>
      <w:rPr>
        <w:rFonts w:hint="eastAsia"/>
      </w:rPr>
    </w:lvl>
    <w:lvl w:ilvl="7">
      <w:start w:val="1"/>
      <w:numFmt w:val="ideographTraditional"/>
      <w:lvlText w:val="%8、"/>
      <w:lvlJc w:val="left"/>
      <w:pPr>
        <w:ind w:left="4402" w:hanging="482"/>
      </w:pPr>
      <w:rPr>
        <w:rFonts w:hint="eastAsia"/>
      </w:rPr>
    </w:lvl>
    <w:lvl w:ilvl="8">
      <w:start w:val="1"/>
      <w:numFmt w:val="lowerRoman"/>
      <w:lvlText w:val="%9."/>
      <w:lvlJc w:val="right"/>
      <w:pPr>
        <w:ind w:left="4962" w:hanging="482"/>
      </w:pPr>
      <w:rPr>
        <w:rFonts w:hint="eastAsia"/>
      </w:rPr>
    </w:lvl>
  </w:abstractNum>
  <w:abstractNum w:abstractNumId="10" w15:restartNumberingAfterBreak="0">
    <w:nsid w:val="7F176971"/>
    <w:multiLevelType w:val="multilevel"/>
    <w:tmpl w:val="B46E6012"/>
    <w:lvl w:ilvl="0">
      <w:start w:val="1"/>
      <w:numFmt w:val="taiwaneseCountingThousand"/>
      <w:lvlText w:val="%1、"/>
      <w:lvlJc w:val="left"/>
      <w:pPr>
        <w:tabs>
          <w:tab w:val="num" w:pos="0"/>
        </w:tabs>
        <w:ind w:left="560" w:hanging="560"/>
      </w:pPr>
      <w:rPr>
        <w:rFonts w:hint="eastAsia"/>
      </w:rPr>
    </w:lvl>
    <w:lvl w:ilvl="1">
      <w:start w:val="1"/>
      <w:numFmt w:val="taiwaneseCountingThousand"/>
      <w:lvlText w:val="(%2)"/>
      <w:lvlJc w:val="left"/>
      <w:pPr>
        <w:tabs>
          <w:tab w:val="num" w:pos="0"/>
        </w:tabs>
        <w:ind w:left="1120" w:hanging="560"/>
      </w:pPr>
      <w:rPr>
        <w:rFonts w:hint="eastAsia"/>
      </w:rPr>
    </w:lvl>
    <w:lvl w:ilvl="2">
      <w:start w:val="1"/>
      <w:numFmt w:val="decimal"/>
      <w:lvlText w:val="%3."/>
      <w:lvlJc w:val="left"/>
      <w:pPr>
        <w:ind w:left="1680" w:hanging="560"/>
      </w:pPr>
      <w:rPr>
        <w:rFonts w:hint="eastAsia"/>
      </w:rPr>
    </w:lvl>
    <w:lvl w:ilvl="3">
      <w:start w:val="1"/>
      <w:numFmt w:val="decimal"/>
      <w:lvlText w:val="(%4)"/>
      <w:lvlJc w:val="left"/>
      <w:pPr>
        <w:ind w:left="1683" w:firstLine="0"/>
      </w:pPr>
      <w:rPr>
        <w:rFonts w:hint="eastAsia"/>
      </w:rPr>
    </w:lvl>
    <w:lvl w:ilvl="4">
      <w:start w:val="1"/>
      <w:numFmt w:val="ideographTraditional"/>
      <w:lvlText w:val="%5、"/>
      <w:lvlJc w:val="left"/>
      <w:pPr>
        <w:ind w:left="2244" w:firstLine="0"/>
      </w:pPr>
      <w:rPr>
        <w:rFonts w:hint="eastAsia"/>
      </w:rPr>
    </w:lvl>
    <w:lvl w:ilvl="5">
      <w:start w:val="1"/>
      <w:numFmt w:val="lowerRoman"/>
      <w:lvlText w:val="%6."/>
      <w:lvlJc w:val="right"/>
      <w:pPr>
        <w:ind w:left="2805" w:firstLine="0"/>
      </w:pPr>
      <w:rPr>
        <w:rFonts w:hint="eastAsia"/>
      </w:rPr>
    </w:lvl>
    <w:lvl w:ilvl="6">
      <w:start w:val="1"/>
      <w:numFmt w:val="decimal"/>
      <w:lvlText w:val="%7."/>
      <w:lvlJc w:val="left"/>
      <w:pPr>
        <w:ind w:left="3366" w:firstLine="0"/>
      </w:pPr>
      <w:rPr>
        <w:rFonts w:hint="eastAsia"/>
      </w:rPr>
    </w:lvl>
    <w:lvl w:ilvl="7">
      <w:start w:val="1"/>
      <w:numFmt w:val="ideographTraditional"/>
      <w:lvlText w:val="%8、"/>
      <w:lvlJc w:val="left"/>
      <w:pPr>
        <w:ind w:left="3927" w:firstLine="0"/>
      </w:pPr>
      <w:rPr>
        <w:rFonts w:hint="eastAsia"/>
      </w:rPr>
    </w:lvl>
    <w:lvl w:ilvl="8">
      <w:start w:val="1"/>
      <w:numFmt w:val="lowerRoman"/>
      <w:lvlText w:val="%9."/>
      <w:lvlJc w:val="right"/>
      <w:pPr>
        <w:ind w:left="4488" w:firstLine="0"/>
      </w:pPr>
      <w:rPr>
        <w:rFonts w:hint="eastAsia"/>
      </w:rPr>
    </w:lvl>
  </w:abstractNum>
  <w:num w:numId="1">
    <w:abstractNumId w:val="5"/>
  </w:num>
  <w:num w:numId="2">
    <w:abstractNumId w:val="7"/>
  </w:num>
  <w:num w:numId="3">
    <w:abstractNumId w:val="6"/>
  </w:num>
  <w:num w:numId="4">
    <w:abstractNumId w:val="3"/>
  </w:num>
  <w:num w:numId="5">
    <w:abstractNumId w:val="9"/>
  </w:num>
  <w:num w:numId="6">
    <w:abstractNumId w:val="6"/>
    <w:lvlOverride w:ilvl="0">
      <w:lvl w:ilvl="0">
        <w:start w:val="1"/>
        <w:numFmt w:val="taiwaneseCountingThousand"/>
        <w:lvlText w:val="%1、"/>
        <w:lvlJc w:val="left"/>
        <w:pPr>
          <w:ind w:left="482" w:hanging="482"/>
        </w:pPr>
        <w:rPr>
          <w:rFonts w:hint="eastAsia"/>
        </w:rPr>
      </w:lvl>
    </w:lvlOverride>
    <w:lvlOverride w:ilvl="1">
      <w:lvl w:ilvl="1">
        <w:start w:val="1"/>
        <w:numFmt w:val="taiwaneseCountingThousand"/>
        <w:lvlText w:val="（%2）"/>
        <w:lvlJc w:val="left"/>
        <w:pPr>
          <w:ind w:left="561" w:firstLine="0"/>
        </w:pPr>
        <w:rPr>
          <w:rFonts w:hint="eastAsia"/>
        </w:rPr>
      </w:lvl>
    </w:lvlOverride>
    <w:lvlOverride w:ilvl="2">
      <w:lvl w:ilvl="2">
        <w:start w:val="1"/>
        <w:numFmt w:val="lowerRoman"/>
        <w:lvlText w:val="%3."/>
        <w:lvlJc w:val="right"/>
        <w:pPr>
          <w:ind w:left="1122" w:firstLine="0"/>
        </w:pPr>
        <w:rPr>
          <w:rFonts w:hint="eastAsia"/>
        </w:rPr>
      </w:lvl>
    </w:lvlOverride>
    <w:lvlOverride w:ilvl="3">
      <w:lvl w:ilvl="3">
        <w:start w:val="1"/>
        <w:numFmt w:val="decimal"/>
        <w:lvlText w:val="%4."/>
        <w:lvlJc w:val="left"/>
        <w:pPr>
          <w:ind w:left="1683" w:firstLine="0"/>
        </w:pPr>
        <w:rPr>
          <w:rFonts w:hint="eastAsia"/>
        </w:rPr>
      </w:lvl>
    </w:lvlOverride>
    <w:lvlOverride w:ilvl="4">
      <w:lvl w:ilvl="4">
        <w:start w:val="1"/>
        <w:numFmt w:val="ideographTraditional"/>
        <w:lvlText w:val="%5、"/>
        <w:lvlJc w:val="left"/>
        <w:pPr>
          <w:ind w:left="2244" w:firstLine="0"/>
        </w:pPr>
        <w:rPr>
          <w:rFonts w:hint="eastAsia"/>
        </w:rPr>
      </w:lvl>
    </w:lvlOverride>
    <w:lvlOverride w:ilvl="5">
      <w:lvl w:ilvl="5">
        <w:start w:val="1"/>
        <w:numFmt w:val="lowerRoman"/>
        <w:lvlText w:val="%6."/>
        <w:lvlJc w:val="right"/>
        <w:pPr>
          <w:ind w:left="2805" w:firstLine="0"/>
        </w:pPr>
        <w:rPr>
          <w:rFonts w:hint="eastAsia"/>
        </w:rPr>
      </w:lvl>
    </w:lvlOverride>
    <w:lvlOverride w:ilvl="6">
      <w:lvl w:ilvl="6">
        <w:start w:val="1"/>
        <w:numFmt w:val="decimal"/>
        <w:lvlText w:val="%7."/>
        <w:lvlJc w:val="left"/>
        <w:pPr>
          <w:ind w:left="3366" w:firstLine="0"/>
        </w:pPr>
        <w:rPr>
          <w:rFonts w:hint="eastAsia"/>
        </w:rPr>
      </w:lvl>
    </w:lvlOverride>
    <w:lvlOverride w:ilvl="7">
      <w:lvl w:ilvl="7">
        <w:start w:val="1"/>
        <w:numFmt w:val="ideographTraditional"/>
        <w:lvlText w:val="%8、"/>
        <w:lvlJc w:val="left"/>
        <w:pPr>
          <w:ind w:left="3927" w:firstLine="0"/>
        </w:pPr>
        <w:rPr>
          <w:rFonts w:hint="eastAsia"/>
        </w:rPr>
      </w:lvl>
    </w:lvlOverride>
    <w:lvlOverride w:ilvl="8">
      <w:lvl w:ilvl="8">
        <w:start w:val="1"/>
        <w:numFmt w:val="lowerRoman"/>
        <w:lvlText w:val="%9."/>
        <w:lvlJc w:val="right"/>
        <w:pPr>
          <w:ind w:left="4488" w:firstLine="0"/>
        </w:pPr>
        <w:rPr>
          <w:rFonts w:hint="eastAsia"/>
        </w:rPr>
      </w:lvl>
    </w:lvlOverride>
  </w:num>
  <w:num w:numId="7">
    <w:abstractNumId w:val="8"/>
  </w:num>
  <w:num w:numId="8">
    <w:abstractNumId w:val="0"/>
  </w:num>
  <w:num w:numId="9">
    <w:abstractNumId w:val="2"/>
  </w:num>
  <w:num w:numId="10">
    <w:abstractNumId w:val="1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333"/>
    <w:rsid w:val="00016C47"/>
    <w:rsid w:val="000336A0"/>
    <w:rsid w:val="00034662"/>
    <w:rsid w:val="0006357B"/>
    <w:rsid w:val="00066293"/>
    <w:rsid w:val="000805B0"/>
    <w:rsid w:val="000C367E"/>
    <w:rsid w:val="000C3AB4"/>
    <w:rsid w:val="000D5E6C"/>
    <w:rsid w:val="000D6E32"/>
    <w:rsid w:val="001024F6"/>
    <w:rsid w:val="0011351D"/>
    <w:rsid w:val="0012335C"/>
    <w:rsid w:val="0012497F"/>
    <w:rsid w:val="001254A5"/>
    <w:rsid w:val="001278F9"/>
    <w:rsid w:val="001373EE"/>
    <w:rsid w:val="00160BC6"/>
    <w:rsid w:val="0017000F"/>
    <w:rsid w:val="00186B5D"/>
    <w:rsid w:val="001F7071"/>
    <w:rsid w:val="002321A4"/>
    <w:rsid w:val="00244FF3"/>
    <w:rsid w:val="002646AF"/>
    <w:rsid w:val="0027022D"/>
    <w:rsid w:val="00275E9D"/>
    <w:rsid w:val="002B3D16"/>
    <w:rsid w:val="002C507E"/>
    <w:rsid w:val="002F32DD"/>
    <w:rsid w:val="002F40B8"/>
    <w:rsid w:val="00322DB0"/>
    <w:rsid w:val="00327577"/>
    <w:rsid w:val="003309B4"/>
    <w:rsid w:val="003402AF"/>
    <w:rsid w:val="003473CE"/>
    <w:rsid w:val="00351E5E"/>
    <w:rsid w:val="00396933"/>
    <w:rsid w:val="003A67C9"/>
    <w:rsid w:val="003C1ECC"/>
    <w:rsid w:val="003C3961"/>
    <w:rsid w:val="003F1BA8"/>
    <w:rsid w:val="003F254B"/>
    <w:rsid w:val="003F5597"/>
    <w:rsid w:val="004014AC"/>
    <w:rsid w:val="00415DE4"/>
    <w:rsid w:val="00433F10"/>
    <w:rsid w:val="004A6392"/>
    <w:rsid w:val="004C17C2"/>
    <w:rsid w:val="004C6CAC"/>
    <w:rsid w:val="004D522E"/>
    <w:rsid w:val="004E6E15"/>
    <w:rsid w:val="004F3E6F"/>
    <w:rsid w:val="0052559F"/>
    <w:rsid w:val="0053098F"/>
    <w:rsid w:val="00551EB0"/>
    <w:rsid w:val="0055469D"/>
    <w:rsid w:val="005D56E3"/>
    <w:rsid w:val="00626327"/>
    <w:rsid w:val="006400FA"/>
    <w:rsid w:val="00655521"/>
    <w:rsid w:val="00683017"/>
    <w:rsid w:val="00684C95"/>
    <w:rsid w:val="006F2D84"/>
    <w:rsid w:val="006F6155"/>
    <w:rsid w:val="00722987"/>
    <w:rsid w:val="007B26FC"/>
    <w:rsid w:val="007D5AC7"/>
    <w:rsid w:val="007E416B"/>
    <w:rsid w:val="007E6C44"/>
    <w:rsid w:val="008055C6"/>
    <w:rsid w:val="0081069B"/>
    <w:rsid w:val="0083729F"/>
    <w:rsid w:val="008507E3"/>
    <w:rsid w:val="00856347"/>
    <w:rsid w:val="00892588"/>
    <w:rsid w:val="008955C2"/>
    <w:rsid w:val="008B6F2B"/>
    <w:rsid w:val="008C683E"/>
    <w:rsid w:val="008E19A0"/>
    <w:rsid w:val="008E308E"/>
    <w:rsid w:val="008E74C0"/>
    <w:rsid w:val="009062D3"/>
    <w:rsid w:val="0093042E"/>
    <w:rsid w:val="00941FC9"/>
    <w:rsid w:val="00946DCD"/>
    <w:rsid w:val="00951F82"/>
    <w:rsid w:val="00962938"/>
    <w:rsid w:val="00963416"/>
    <w:rsid w:val="0097075D"/>
    <w:rsid w:val="00974FB6"/>
    <w:rsid w:val="009D6A41"/>
    <w:rsid w:val="00A16548"/>
    <w:rsid w:val="00A44C76"/>
    <w:rsid w:val="00A82096"/>
    <w:rsid w:val="00A91764"/>
    <w:rsid w:val="00A92F4C"/>
    <w:rsid w:val="00A96D56"/>
    <w:rsid w:val="00AA5F00"/>
    <w:rsid w:val="00AF5753"/>
    <w:rsid w:val="00B06D18"/>
    <w:rsid w:val="00B202A5"/>
    <w:rsid w:val="00B84333"/>
    <w:rsid w:val="00B9677F"/>
    <w:rsid w:val="00BA62AF"/>
    <w:rsid w:val="00BA6303"/>
    <w:rsid w:val="00BB1172"/>
    <w:rsid w:val="00BF0155"/>
    <w:rsid w:val="00C02873"/>
    <w:rsid w:val="00C062FB"/>
    <w:rsid w:val="00C117BF"/>
    <w:rsid w:val="00C20C5A"/>
    <w:rsid w:val="00C2449D"/>
    <w:rsid w:val="00C73077"/>
    <w:rsid w:val="00C765BB"/>
    <w:rsid w:val="00C77104"/>
    <w:rsid w:val="00CA0F73"/>
    <w:rsid w:val="00CA7990"/>
    <w:rsid w:val="00CC434F"/>
    <w:rsid w:val="00D202B2"/>
    <w:rsid w:val="00D23C3C"/>
    <w:rsid w:val="00D31A61"/>
    <w:rsid w:val="00D6420A"/>
    <w:rsid w:val="00D9239C"/>
    <w:rsid w:val="00DC1B1C"/>
    <w:rsid w:val="00DE69DF"/>
    <w:rsid w:val="00DF6B22"/>
    <w:rsid w:val="00E00D13"/>
    <w:rsid w:val="00E10675"/>
    <w:rsid w:val="00E16A55"/>
    <w:rsid w:val="00E2106B"/>
    <w:rsid w:val="00E2640F"/>
    <w:rsid w:val="00E31DCE"/>
    <w:rsid w:val="00E32041"/>
    <w:rsid w:val="00E468AC"/>
    <w:rsid w:val="00E50982"/>
    <w:rsid w:val="00E547A5"/>
    <w:rsid w:val="00E65D53"/>
    <w:rsid w:val="00E73C1D"/>
    <w:rsid w:val="00E85963"/>
    <w:rsid w:val="00EA17BE"/>
    <w:rsid w:val="00EB3924"/>
    <w:rsid w:val="00F243B5"/>
    <w:rsid w:val="00F619CE"/>
    <w:rsid w:val="00F635ED"/>
    <w:rsid w:val="00F75282"/>
    <w:rsid w:val="00F825E0"/>
    <w:rsid w:val="00FA354D"/>
    <w:rsid w:val="00FB72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BFD1EF"/>
  <w15:docId w15:val="{4FB47D8F-68F5-41B1-88FD-F457AB81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677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B9677F"/>
    <w:pPr>
      <w:ind w:left="480" w:hanging="480"/>
    </w:pPr>
    <w:rPr>
      <w:rFonts w:eastAsia="標楷體"/>
      <w:sz w:val="28"/>
      <w:shd w:val="pct15" w:color="auto" w:fill="FFFFFF"/>
    </w:rPr>
  </w:style>
  <w:style w:type="paragraph" w:styleId="2">
    <w:name w:val="Body Text Indent 2"/>
    <w:basedOn w:val="a"/>
    <w:semiHidden/>
    <w:rsid w:val="00B9677F"/>
    <w:pPr>
      <w:spacing w:line="360" w:lineRule="auto"/>
      <w:ind w:left="546" w:hanging="546"/>
    </w:pPr>
    <w:rPr>
      <w:rFonts w:eastAsia="標楷體"/>
      <w:sz w:val="28"/>
    </w:rPr>
  </w:style>
  <w:style w:type="paragraph" w:styleId="3">
    <w:name w:val="Body Text Indent 3"/>
    <w:basedOn w:val="a"/>
    <w:semiHidden/>
    <w:rsid w:val="00B9677F"/>
    <w:pPr>
      <w:spacing w:line="360" w:lineRule="auto"/>
      <w:ind w:left="588" w:hanging="588"/>
    </w:pPr>
    <w:rPr>
      <w:rFonts w:eastAsia="標楷體"/>
      <w:sz w:val="28"/>
    </w:rPr>
  </w:style>
  <w:style w:type="paragraph" w:styleId="a4">
    <w:name w:val="header"/>
    <w:basedOn w:val="a"/>
    <w:link w:val="a5"/>
    <w:uiPriority w:val="99"/>
    <w:unhideWhenUsed/>
    <w:rsid w:val="00B84333"/>
    <w:pPr>
      <w:tabs>
        <w:tab w:val="center" w:pos="4153"/>
        <w:tab w:val="right" w:pos="8306"/>
      </w:tabs>
      <w:snapToGrid w:val="0"/>
    </w:pPr>
    <w:rPr>
      <w:sz w:val="20"/>
      <w:szCs w:val="20"/>
    </w:rPr>
  </w:style>
  <w:style w:type="character" w:customStyle="1" w:styleId="a5">
    <w:name w:val="頁首 字元"/>
    <w:basedOn w:val="a0"/>
    <w:link w:val="a4"/>
    <w:uiPriority w:val="99"/>
    <w:rsid w:val="00B84333"/>
    <w:rPr>
      <w:kern w:val="2"/>
    </w:rPr>
  </w:style>
  <w:style w:type="paragraph" w:styleId="a6">
    <w:name w:val="footer"/>
    <w:basedOn w:val="a"/>
    <w:link w:val="a7"/>
    <w:uiPriority w:val="99"/>
    <w:unhideWhenUsed/>
    <w:rsid w:val="00B84333"/>
    <w:pPr>
      <w:tabs>
        <w:tab w:val="center" w:pos="4153"/>
        <w:tab w:val="right" w:pos="8306"/>
      </w:tabs>
      <w:snapToGrid w:val="0"/>
    </w:pPr>
    <w:rPr>
      <w:sz w:val="20"/>
      <w:szCs w:val="20"/>
    </w:rPr>
  </w:style>
  <w:style w:type="character" w:customStyle="1" w:styleId="a7">
    <w:name w:val="頁尾 字元"/>
    <w:basedOn w:val="a0"/>
    <w:link w:val="a6"/>
    <w:uiPriority w:val="99"/>
    <w:rsid w:val="00B84333"/>
    <w:rPr>
      <w:kern w:val="2"/>
    </w:rPr>
  </w:style>
  <w:style w:type="paragraph" w:customStyle="1" w:styleId="a8">
    <w:name w:val="署名"/>
    <w:basedOn w:val="a"/>
    <w:rsid w:val="00E10675"/>
    <w:pPr>
      <w:suppressAutoHyphens/>
      <w:autoSpaceDN w:val="0"/>
      <w:spacing w:before="120"/>
      <w:textAlignment w:val="baseline"/>
    </w:pPr>
    <w:rPr>
      <w:rFonts w:ascii="Arial" w:eastAsia="標楷體" w:hAnsi="Arial" w:cs="標楷體"/>
      <w:kern w:val="3"/>
      <w:sz w:val="32"/>
      <w:szCs w:val="20"/>
    </w:rPr>
  </w:style>
  <w:style w:type="paragraph" w:styleId="a9">
    <w:name w:val="Balloon Text"/>
    <w:basedOn w:val="a"/>
    <w:link w:val="aa"/>
    <w:uiPriority w:val="99"/>
    <w:semiHidden/>
    <w:unhideWhenUsed/>
    <w:rsid w:val="006F2D8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F2D84"/>
    <w:rPr>
      <w:rFonts w:asciiTheme="majorHAnsi" w:eastAsiaTheme="majorEastAsia" w:hAnsiTheme="majorHAnsi" w:cstheme="majorBidi"/>
      <w:kern w:val="2"/>
      <w:sz w:val="18"/>
      <w:szCs w:val="18"/>
    </w:rPr>
  </w:style>
  <w:style w:type="paragraph" w:customStyle="1" w:styleId="Standard">
    <w:name w:val="Standard"/>
    <w:rsid w:val="001373EE"/>
    <w:pPr>
      <w:widowControl w:val="0"/>
      <w:suppressAutoHyphens/>
      <w:autoSpaceDN w:val="0"/>
      <w:textAlignment w:val="baseline"/>
    </w:pPr>
    <w:rPr>
      <w:kern w:val="3"/>
      <w:sz w:val="24"/>
      <w:szCs w:val="24"/>
    </w:rPr>
  </w:style>
  <w:style w:type="paragraph" w:styleId="ab">
    <w:name w:val="List Paragraph"/>
    <w:basedOn w:val="a"/>
    <w:uiPriority w:val="34"/>
    <w:qFormat/>
    <w:rsid w:val="0093042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47485">
      <w:bodyDiv w:val="1"/>
      <w:marLeft w:val="0"/>
      <w:marRight w:val="0"/>
      <w:marTop w:val="0"/>
      <w:marBottom w:val="0"/>
      <w:divBdr>
        <w:top w:val="none" w:sz="0" w:space="0" w:color="auto"/>
        <w:left w:val="none" w:sz="0" w:space="0" w:color="auto"/>
        <w:bottom w:val="none" w:sz="0" w:space="0" w:color="auto"/>
        <w:right w:val="none" w:sz="0" w:space="0" w:color="auto"/>
      </w:divBdr>
    </w:div>
    <w:div w:id="169164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424</Words>
  <Characters>2423</Characters>
  <Application>Microsoft Office Word</Application>
  <DocSecurity>0</DocSecurity>
  <Lines>20</Lines>
  <Paragraphs>5</Paragraphs>
  <ScaleCrop>false</ScaleCrop>
  <Company>SIPA</Company>
  <LinksUpToDate>false</LinksUpToDate>
  <CharactersWithSpaces>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科學工業園區工商服務業駐區服務審核要點</dc:title>
  <dc:creator>ep-95</dc:creator>
  <cp:lastModifiedBy>賴以晴</cp:lastModifiedBy>
  <cp:revision>2</cp:revision>
  <cp:lastPrinted>2022-07-29T03:18:00Z</cp:lastPrinted>
  <dcterms:created xsi:type="dcterms:W3CDTF">2022-08-18T05:57:00Z</dcterms:created>
  <dcterms:modified xsi:type="dcterms:W3CDTF">2022-08-18T05:57:00Z</dcterms:modified>
</cp:coreProperties>
</file>