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3BD53" w14:textId="77777777" w:rsidR="00D26463" w:rsidRPr="00D26463" w:rsidRDefault="00D26463" w:rsidP="00D26463">
      <w:pPr>
        <w:jc w:val="center"/>
        <w:rPr>
          <w:b/>
          <w:sz w:val="32"/>
          <w:szCs w:val="32"/>
        </w:rPr>
      </w:pPr>
      <w:r w:rsidRPr="00D26463">
        <w:rPr>
          <w:rFonts w:hint="eastAsia"/>
          <w:b/>
          <w:sz w:val="32"/>
          <w:szCs w:val="32"/>
        </w:rPr>
        <w:t>Regulations for Levying the Management Fees at Science Parks</w:t>
      </w:r>
    </w:p>
    <w:p w14:paraId="65530426" w14:textId="77777777" w:rsidR="00D26463" w:rsidRPr="00C71492" w:rsidRDefault="00D26463" w:rsidP="00D26463">
      <w:pPr>
        <w:rPr>
          <w:sz w:val="32"/>
          <w:szCs w:val="32"/>
        </w:rPr>
      </w:pPr>
      <w:r w:rsidRPr="00C71492">
        <w:rPr>
          <w:rFonts w:hint="eastAsia"/>
          <w:sz w:val="32"/>
          <w:szCs w:val="32"/>
        </w:rPr>
        <w:t>(</w:t>
      </w:r>
      <w:r w:rsidRPr="00C71492">
        <w:rPr>
          <w:sz w:val="32"/>
          <w:szCs w:val="32"/>
        </w:rPr>
        <w:t>Legislative History)</w:t>
      </w:r>
    </w:p>
    <w:p w14:paraId="3CD30E55" w14:textId="77777777" w:rsidR="00D26463" w:rsidRDefault="00D26463" w:rsidP="00D26463">
      <w:pPr>
        <w:pStyle w:val="aa"/>
        <w:numPr>
          <w:ilvl w:val="0"/>
          <w:numId w:val="1"/>
        </w:numPr>
        <w:ind w:leftChars="0"/>
      </w:pPr>
      <w:r w:rsidRPr="000A7CC4">
        <w:t>Promulgated by the National Science Council per Order (2001) Tai-Hui-Yuan-</w:t>
      </w:r>
      <w:proofErr w:type="spellStart"/>
      <w:r w:rsidRPr="000A7CC4">
        <w:t>Tou</w:t>
      </w:r>
      <w:proofErr w:type="spellEnd"/>
      <w:r w:rsidRPr="000A7CC4">
        <w:t>-Zi No. 033593 on December 28, 2001</w:t>
      </w:r>
    </w:p>
    <w:p w14:paraId="07D99545" w14:textId="77777777" w:rsidR="00D26463" w:rsidRDefault="00D26463" w:rsidP="00D26463">
      <w:pPr>
        <w:pStyle w:val="aa"/>
        <w:numPr>
          <w:ilvl w:val="0"/>
          <w:numId w:val="1"/>
        </w:numPr>
        <w:ind w:leftChars="0"/>
      </w:pPr>
      <w:r w:rsidRPr="000A7CC4">
        <w:t>Amended and promulgated by the National Science Council per Order Tai-Hui-</w:t>
      </w:r>
      <w:proofErr w:type="spellStart"/>
      <w:r w:rsidRPr="000A7CC4">
        <w:t>Gui</w:t>
      </w:r>
      <w:proofErr w:type="spellEnd"/>
      <w:r w:rsidRPr="000A7CC4">
        <w:t>-Zi No. 0910068529-1 on December 31, 2002</w:t>
      </w:r>
    </w:p>
    <w:p w14:paraId="414028FF" w14:textId="77777777" w:rsidR="00D26463" w:rsidRDefault="00D26463" w:rsidP="00D26463">
      <w:pPr>
        <w:pStyle w:val="aa"/>
        <w:numPr>
          <w:ilvl w:val="0"/>
          <w:numId w:val="1"/>
        </w:numPr>
        <w:ind w:leftChars="0"/>
      </w:pPr>
      <w:r w:rsidRPr="000A7CC4">
        <w:t>Amended and promulgated by the National Science Council per Order Hui-</w:t>
      </w:r>
      <w:proofErr w:type="spellStart"/>
      <w:r w:rsidRPr="000A7CC4">
        <w:t>Shou</w:t>
      </w:r>
      <w:proofErr w:type="spellEnd"/>
      <w:r w:rsidRPr="000A7CC4">
        <w:t>-Yuan-</w:t>
      </w:r>
      <w:proofErr w:type="spellStart"/>
      <w:r w:rsidRPr="000A7CC4">
        <w:t>Tou</w:t>
      </w:r>
      <w:proofErr w:type="spellEnd"/>
      <w:r w:rsidRPr="000A7CC4">
        <w:t>-Zi No. 0950034299D on December 26, 2006</w:t>
      </w:r>
    </w:p>
    <w:p w14:paraId="55718990" w14:textId="77777777" w:rsidR="00D26463" w:rsidRDefault="00D26463" w:rsidP="00D26463">
      <w:pPr>
        <w:pStyle w:val="aa"/>
        <w:numPr>
          <w:ilvl w:val="0"/>
          <w:numId w:val="1"/>
        </w:numPr>
        <w:ind w:leftChars="0"/>
      </w:pPr>
      <w:r w:rsidRPr="000A7CC4">
        <w:t>Article 13-1 enacted and promulgated by the National Science Council per Order Hui-</w:t>
      </w:r>
      <w:proofErr w:type="spellStart"/>
      <w:r w:rsidRPr="000A7CC4">
        <w:t>Shou</w:t>
      </w:r>
      <w:proofErr w:type="spellEnd"/>
      <w:r w:rsidRPr="000A7CC4">
        <w:t>-Yuan-</w:t>
      </w:r>
      <w:proofErr w:type="spellStart"/>
      <w:r w:rsidRPr="000A7CC4">
        <w:t>Tou</w:t>
      </w:r>
      <w:proofErr w:type="spellEnd"/>
      <w:r w:rsidRPr="000A7CC4">
        <w:t>-Zi No. 0980003573 on February 6, 2009</w:t>
      </w:r>
    </w:p>
    <w:p w14:paraId="7FB74BB9" w14:textId="77777777" w:rsidR="00D26463" w:rsidRDefault="00D26463" w:rsidP="00D26463">
      <w:pPr>
        <w:pStyle w:val="aa"/>
        <w:numPr>
          <w:ilvl w:val="0"/>
          <w:numId w:val="1"/>
        </w:numPr>
        <w:ind w:leftChars="0"/>
      </w:pPr>
      <w:r w:rsidRPr="000A7CC4">
        <w:t>Article 14 amended and promulgated by the National Science Council per Order Hui-</w:t>
      </w:r>
      <w:proofErr w:type="spellStart"/>
      <w:r w:rsidRPr="000A7CC4">
        <w:t>Shou</w:t>
      </w:r>
      <w:proofErr w:type="spellEnd"/>
      <w:r w:rsidRPr="000A7CC4">
        <w:t>-Yuan-</w:t>
      </w:r>
      <w:proofErr w:type="spellStart"/>
      <w:r w:rsidRPr="000A7CC4">
        <w:t>Tou</w:t>
      </w:r>
      <w:proofErr w:type="spellEnd"/>
      <w:r w:rsidRPr="000A7CC4">
        <w:t>-Zi No. 0980006869 on March 10, 2009</w:t>
      </w:r>
    </w:p>
    <w:p w14:paraId="35E1066C" w14:textId="77777777" w:rsidR="00D26463" w:rsidRDefault="00D26463" w:rsidP="00D26463">
      <w:pPr>
        <w:pStyle w:val="aa"/>
        <w:numPr>
          <w:ilvl w:val="0"/>
          <w:numId w:val="1"/>
        </w:numPr>
        <w:ind w:leftChars="0"/>
        <w:jc w:val="both"/>
      </w:pPr>
      <w:r w:rsidRPr="000A7CC4">
        <w:t xml:space="preserve">Articles 3, 4, 7, 11, and 14 amended and promulgated by the National </w:t>
      </w:r>
      <w:proofErr w:type="spellStart"/>
      <w:r w:rsidRPr="000A7CC4">
        <w:t>ScienceCouncil</w:t>
      </w:r>
      <w:proofErr w:type="spellEnd"/>
      <w:r w:rsidRPr="000A7CC4">
        <w:t xml:space="preserve"> per Order (2009) Tai-Hui-</w:t>
      </w:r>
      <w:proofErr w:type="spellStart"/>
      <w:r w:rsidRPr="000A7CC4">
        <w:t>Xie</w:t>
      </w:r>
      <w:proofErr w:type="spellEnd"/>
      <w:r w:rsidRPr="000A7CC4">
        <w:t>-Zi No. 0980025536A on April 10, 2009</w:t>
      </w:r>
    </w:p>
    <w:p w14:paraId="14C02DC9" w14:textId="77777777" w:rsidR="00D26463" w:rsidRDefault="00D26463" w:rsidP="00D26463">
      <w:pPr>
        <w:pStyle w:val="aa"/>
        <w:numPr>
          <w:ilvl w:val="0"/>
          <w:numId w:val="1"/>
        </w:numPr>
        <w:ind w:leftChars="0"/>
        <w:jc w:val="both"/>
      </w:pPr>
      <w:r w:rsidRPr="000A7CC4">
        <w:t>Articles 13-1 amended and promulgated by the National Science Council per Order (2009) Tai-Hui-</w:t>
      </w:r>
      <w:proofErr w:type="spellStart"/>
      <w:r w:rsidRPr="000A7CC4">
        <w:t>Xie</w:t>
      </w:r>
      <w:proofErr w:type="spellEnd"/>
      <w:r w:rsidRPr="000A7CC4">
        <w:t>-Zi No. 0990019470A on March 18, 2010</w:t>
      </w:r>
    </w:p>
    <w:p w14:paraId="2BA9359D" w14:textId="77777777" w:rsidR="00D26463" w:rsidRDefault="00D26463" w:rsidP="00D26463">
      <w:pPr>
        <w:pStyle w:val="aa"/>
        <w:numPr>
          <w:ilvl w:val="0"/>
          <w:numId w:val="1"/>
        </w:numPr>
        <w:ind w:leftChars="0"/>
        <w:jc w:val="both"/>
      </w:pPr>
      <w:r w:rsidRPr="000A7CC4">
        <w:t>Articles 11 and 14 amended and promulgated by the National Science Council per Order (2010) Tai-Hui-</w:t>
      </w:r>
      <w:proofErr w:type="spellStart"/>
      <w:r w:rsidRPr="000A7CC4">
        <w:t>Xie</w:t>
      </w:r>
      <w:proofErr w:type="spellEnd"/>
      <w:r w:rsidRPr="000A7CC4">
        <w:t>-Zi No. 0990089895A on December 22, 2010</w:t>
      </w:r>
    </w:p>
    <w:p w14:paraId="157A875A" w14:textId="77777777" w:rsidR="00D26463" w:rsidRDefault="00D26463" w:rsidP="00D26463">
      <w:pPr>
        <w:pStyle w:val="aa"/>
        <w:numPr>
          <w:ilvl w:val="0"/>
          <w:numId w:val="1"/>
        </w:numPr>
        <w:ind w:leftChars="0"/>
        <w:jc w:val="both"/>
      </w:pPr>
      <w:r w:rsidRPr="000A7CC4">
        <w:t xml:space="preserve">Article 8 amended and promulgated by the Ministry of Science and Technology per Order </w:t>
      </w:r>
      <w:proofErr w:type="spellStart"/>
      <w:r w:rsidRPr="000A7CC4">
        <w:t>Ke</w:t>
      </w:r>
      <w:proofErr w:type="spellEnd"/>
      <w:r w:rsidRPr="000A7CC4">
        <w:t>-Bu-Tsang-Zi No. 1030050147A on July 14, 2014</w:t>
      </w:r>
    </w:p>
    <w:p w14:paraId="18A74DD5" w14:textId="77777777" w:rsidR="00D26463" w:rsidRDefault="00D26463" w:rsidP="00D26463">
      <w:pPr>
        <w:pStyle w:val="aa"/>
        <w:numPr>
          <w:ilvl w:val="0"/>
          <w:numId w:val="1"/>
        </w:numPr>
        <w:ind w:leftChars="0"/>
        <w:jc w:val="both"/>
      </w:pPr>
      <w:r w:rsidRPr="000A7CC4">
        <w:t xml:space="preserve">Articles 3, 4, 7, 11, and 13 as well as the Attachments of Articles 3 and 6 amended and promulgated by the Ministry of Science and Technology per Oder </w:t>
      </w:r>
      <w:proofErr w:type="spellStart"/>
      <w:r w:rsidRPr="000A7CC4">
        <w:t>Ke</w:t>
      </w:r>
      <w:proofErr w:type="spellEnd"/>
      <w:r w:rsidRPr="000A7CC4">
        <w:t>-Bu-Tsang-Zi No. 1040083259A on November 24, 2015)</w:t>
      </w:r>
    </w:p>
    <w:p w14:paraId="65619874" w14:textId="77777777" w:rsidR="00D26463" w:rsidRDefault="00D26463" w:rsidP="00D26463">
      <w:pPr>
        <w:pStyle w:val="aa"/>
        <w:numPr>
          <w:ilvl w:val="0"/>
          <w:numId w:val="1"/>
        </w:numPr>
        <w:ind w:leftChars="0"/>
        <w:jc w:val="both"/>
      </w:pPr>
      <w:r w:rsidRPr="000A7CC4">
        <w:t xml:space="preserve">Amended and promulgated by the Ministry of Science and Technology </w:t>
      </w:r>
      <w:bookmarkStart w:id="0" w:name="_Hlk179897189"/>
      <w:r w:rsidRPr="000A7CC4">
        <w:t>per Order</w:t>
      </w:r>
      <w:bookmarkEnd w:id="0"/>
      <w:r w:rsidRPr="000A7CC4">
        <w:t xml:space="preserve"> Bu-So-Chu-Shang-Zi No. 1070035713A on December 6, 2018 and enforced on January 1, 2019, with 14 articles.</w:t>
      </w:r>
    </w:p>
    <w:p w14:paraId="6C227D32" w14:textId="77777777" w:rsidR="00D26463" w:rsidRDefault="00D26463" w:rsidP="00D26463">
      <w:pPr>
        <w:pStyle w:val="aa"/>
        <w:numPr>
          <w:ilvl w:val="0"/>
          <w:numId w:val="1"/>
        </w:numPr>
        <w:ind w:leftChars="0"/>
        <w:jc w:val="both"/>
      </w:pPr>
      <w:r w:rsidRPr="000A7CC4">
        <w:t>Article 13-1,14 amended and promulgated by the Ministry of Science and Technology per Order Bu-So-Nan-Shang-Zi No. 1090014512A on June 3, 2020</w:t>
      </w:r>
    </w:p>
    <w:p w14:paraId="0229C5F4" w14:textId="77777777" w:rsidR="00D26463" w:rsidRDefault="00D26463" w:rsidP="00D26463">
      <w:pPr>
        <w:pStyle w:val="aa"/>
        <w:numPr>
          <w:ilvl w:val="0"/>
          <w:numId w:val="1"/>
        </w:numPr>
        <w:ind w:leftChars="0"/>
        <w:jc w:val="both"/>
      </w:pPr>
      <w:r w:rsidRPr="000A7CC4">
        <w:t xml:space="preserve">Article 2 amended and promulgated by the Ministry of Science and Technology per Order Bu-So-Nan-Shang-Zi No. 1110008773B on March </w:t>
      </w:r>
      <w:proofErr w:type="gramStart"/>
      <w:r w:rsidRPr="000A7CC4">
        <w:t>24 ,</w:t>
      </w:r>
      <w:proofErr w:type="gramEnd"/>
      <w:r w:rsidRPr="000A7CC4">
        <w:t xml:space="preserve"> 2022</w:t>
      </w:r>
    </w:p>
    <w:p w14:paraId="05477A9F" w14:textId="77777777" w:rsidR="00D26463" w:rsidRDefault="00D26463" w:rsidP="00D26463">
      <w:pPr>
        <w:pStyle w:val="aa"/>
        <w:numPr>
          <w:ilvl w:val="0"/>
          <w:numId w:val="1"/>
        </w:numPr>
        <w:ind w:leftChars="0"/>
        <w:jc w:val="both"/>
      </w:pPr>
      <w:r w:rsidRPr="000A7CC4">
        <w:t xml:space="preserve">Article 8,13-1 amended and promulgated by the National Science and Technology Council per Order (2022) </w:t>
      </w:r>
      <w:proofErr w:type="spellStart"/>
      <w:r w:rsidRPr="000A7CC4">
        <w:t>Ke</w:t>
      </w:r>
      <w:proofErr w:type="spellEnd"/>
      <w:r w:rsidRPr="000A7CC4">
        <w:t>-Hui-Tsang-Zi No. 1110072036B on November 22, 2022</w:t>
      </w:r>
    </w:p>
    <w:p w14:paraId="23DD2611" w14:textId="35331F60" w:rsidR="000D5875" w:rsidRPr="00D26463" w:rsidRDefault="00D26463" w:rsidP="00D26463">
      <w:pPr>
        <w:pStyle w:val="aa"/>
        <w:numPr>
          <w:ilvl w:val="0"/>
          <w:numId w:val="1"/>
        </w:numPr>
        <w:ind w:leftChars="0"/>
        <w:jc w:val="both"/>
      </w:pPr>
      <w:r w:rsidRPr="00D26463">
        <w:rPr>
          <w:rFonts w:ascii="Cagliostro" w:eastAsia="微軟正黑體" w:hAnsi="Cagliostro" w:cstheme="minorHAnsi"/>
          <w:color w:val="000000" w:themeColor="text1"/>
        </w:rPr>
        <w:t>Full texts of 17 articles were amended and promulgated by the National Science and Technology Council per Order Hui-So-Zhu-Shang-Zi No.1130030661B on September 19, 2024, and shall become enforceable from the date of promulgation.</w:t>
      </w:r>
    </w:p>
    <w:p w14:paraId="25E8965F" w14:textId="77777777" w:rsidR="00D26463" w:rsidRDefault="00D26463">
      <w:pPr>
        <w:widowControl/>
        <w:rPr>
          <w:rFonts w:ascii="Cagliostro" w:eastAsia="微軟正黑體" w:hAnsi="Cagliostro" w:cstheme="minorHAnsi"/>
        </w:rPr>
      </w:pPr>
      <w:r>
        <w:rPr>
          <w:rFonts w:ascii="Cagliostro" w:eastAsia="微軟正黑體" w:hAnsi="Cagliostro" w:cstheme="minorHAnsi"/>
        </w:rPr>
        <w:br w:type="page"/>
      </w:r>
    </w:p>
    <w:p w14:paraId="307773E5" w14:textId="678CF6E5" w:rsidR="00DE6514" w:rsidRPr="002C62E1" w:rsidRDefault="002C2C11"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lastRenderedPageBreak/>
        <w:t>Article 1</w:t>
      </w:r>
    </w:p>
    <w:p w14:paraId="403592C0" w14:textId="6EEBC78F" w:rsidR="00DE6514" w:rsidRPr="002C62E1" w:rsidRDefault="002C2C11"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The Regulation is promulgated in accordance with the provision of Paragraph 2, Article 29 of the Act for Establishment and Administration of Science Parks (hereinafter referred to as “the Act”).</w:t>
      </w:r>
    </w:p>
    <w:p w14:paraId="7B14A476" w14:textId="4AAC19AE" w:rsidR="00DE6514" w:rsidRPr="002C62E1" w:rsidRDefault="002C2C11"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2</w:t>
      </w:r>
    </w:p>
    <w:p w14:paraId="05517972" w14:textId="0FBF709E" w:rsidR="00DE6514" w:rsidRPr="002C62E1" w:rsidRDefault="002C2C11"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Pursuant to the Regulation, the Bureau is authorized to receive the management fees from park enterprises, financial institutions and other institutions; provided, however, that non-profit government institutions and public utilities providing water and electricity infrastructure in the Park are exempted from such fees.</w:t>
      </w:r>
    </w:p>
    <w:p w14:paraId="274E973E" w14:textId="656A0CBC"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3</w:t>
      </w:r>
    </w:p>
    <w:p w14:paraId="0D0CE8BD" w14:textId="4B59C898" w:rsidR="000D5875" w:rsidRPr="002C62E1" w:rsidRDefault="00B127EB" w:rsidP="000D5875">
      <w:pPr>
        <w:spacing w:afterLines="50" w:after="120"/>
        <w:jc w:val="both"/>
        <w:rPr>
          <w:rFonts w:eastAsia="微軟正黑體" w:cstheme="minorHAnsi"/>
        </w:rPr>
      </w:pPr>
      <w:r w:rsidRPr="002C62E1">
        <w:rPr>
          <w:rFonts w:eastAsia="微軟正黑體" w:cstheme="minorHAnsi"/>
        </w:rPr>
        <w:t>The management fees that shall be paid by park enterprises not located in urban parks are calculated according to the size of either the rented land or the factory buildings in use. The rate for fee calculation is set forth in Attachment I. In the event that park enterprises rent both the land and factory buildings, the fee amount, calculated based on the area of land or factory buildings, whichever is higher, shall apply.</w:t>
      </w:r>
    </w:p>
    <w:p w14:paraId="4E713BB8" w14:textId="447A792B" w:rsidR="00B127EB" w:rsidRPr="002C62E1" w:rsidRDefault="002F26B3" w:rsidP="000D5875">
      <w:pPr>
        <w:spacing w:afterLines="50" w:after="120"/>
        <w:jc w:val="both"/>
        <w:rPr>
          <w:rFonts w:ascii="Cagliostro" w:eastAsia="微軟正黑體" w:hAnsi="Cagliostro" w:cstheme="minorHAnsi"/>
        </w:rPr>
      </w:pPr>
      <w:r w:rsidRPr="002C62E1">
        <w:rPr>
          <w:rFonts w:eastAsia="微軟正黑體" w:cstheme="minorHAnsi"/>
        </w:rPr>
        <w:t xml:space="preserve">The provision of the preceding paragraph shall apply </w:t>
      </w:r>
      <w:r w:rsidRPr="002C62E1">
        <w:rPr>
          <w:rFonts w:eastAsia="微軟正黑體" w:cstheme="minorHAnsi"/>
          <w:iCs/>
        </w:rPr>
        <w:t>mutatis mutandis</w:t>
      </w:r>
      <w:r w:rsidRPr="002C62E1">
        <w:rPr>
          <w:rFonts w:eastAsia="微軟正黑體" w:cstheme="minorHAnsi"/>
          <w:i/>
          <w:iCs/>
        </w:rPr>
        <w:t xml:space="preserve"> </w:t>
      </w:r>
      <w:r w:rsidRPr="002C62E1">
        <w:rPr>
          <w:rFonts w:eastAsia="微軟正黑體" w:cstheme="minorHAnsi"/>
        </w:rPr>
        <w:t>where the land is self-owned by park enterprises.</w:t>
      </w:r>
    </w:p>
    <w:p w14:paraId="6DE2CAE9" w14:textId="02892DF2" w:rsidR="000D5875" w:rsidRPr="002C62E1" w:rsidRDefault="002F26B3" w:rsidP="000D5875">
      <w:pPr>
        <w:spacing w:afterLines="50" w:after="120"/>
        <w:jc w:val="both"/>
        <w:rPr>
          <w:rFonts w:ascii="Cagliostro" w:eastAsia="微軟正黑體" w:hAnsi="Cagliostro" w:cstheme="minorHAnsi"/>
        </w:rPr>
      </w:pPr>
      <w:r w:rsidRPr="002C62E1">
        <w:rPr>
          <w:rFonts w:eastAsia="微軟正黑體" w:cstheme="minorHAnsi"/>
        </w:rPr>
        <w:t>In the event that a park enterprise, which pays the management fees in accordance with the first paragraph of this Article, thereafter obtains approval from the Bureau to establish new factory buildings, such park enterprise shall pay the management fees for the newly increased area of factory buildings upon completion of amendment to the factory registration</w:t>
      </w:r>
      <w:r w:rsidR="000D5875" w:rsidRPr="002C62E1">
        <w:rPr>
          <w:rFonts w:ascii="Cagliostro" w:eastAsia="微軟正黑體" w:hAnsi="Cagliostro" w:cstheme="minorHAnsi"/>
        </w:rPr>
        <w:t>.</w:t>
      </w:r>
    </w:p>
    <w:p w14:paraId="308F432F" w14:textId="13C17D17" w:rsidR="000D5875" w:rsidRPr="002C62E1" w:rsidRDefault="00C92EFD" w:rsidP="000D5875">
      <w:pPr>
        <w:spacing w:afterLines="50" w:after="120"/>
        <w:jc w:val="both"/>
        <w:rPr>
          <w:rFonts w:ascii="Cagliostro" w:eastAsia="微軟正黑體" w:hAnsi="Cagliostro" w:cstheme="minorHAnsi"/>
        </w:rPr>
      </w:pPr>
      <w:r w:rsidRPr="002C62E1">
        <w:rPr>
          <w:rFonts w:eastAsia="微軟正黑體" w:cstheme="minorHAnsi"/>
        </w:rPr>
        <w:t>The management fees that shall be paid by park enterprises located in urban parks are calculated according to the size of the rented factory buildings in use. The rate for fee calculation is set forth in Attachment II</w:t>
      </w:r>
      <w:r w:rsidR="000D5875" w:rsidRPr="002C62E1">
        <w:rPr>
          <w:rFonts w:ascii="Cagliostro" w:eastAsia="微軟正黑體" w:hAnsi="Cagliostro" w:cstheme="minorHAnsi"/>
        </w:rPr>
        <w:t>.</w:t>
      </w:r>
    </w:p>
    <w:p w14:paraId="64502DFC" w14:textId="383C9FAE" w:rsidR="000D5875" w:rsidRPr="002C62E1" w:rsidRDefault="00C92EFD" w:rsidP="000D5875">
      <w:pPr>
        <w:spacing w:afterLines="50" w:after="120"/>
        <w:jc w:val="both"/>
        <w:rPr>
          <w:rFonts w:ascii="Cagliostro" w:eastAsia="微軟正黑體" w:hAnsi="Cagliostro" w:cstheme="minorHAnsi"/>
        </w:rPr>
      </w:pPr>
      <w:r w:rsidRPr="002C62E1">
        <w:rPr>
          <w:rFonts w:eastAsia="微軟正黑體" w:cstheme="minorHAnsi"/>
        </w:rPr>
        <w:t>The term “urban parks” as used in this Regulation shall mean the parks, of which the land has the living and public service functions of urban area and is conducive to the exchange and cooperation between the industry and the academic research institutions, for which planning proposal for urban parks are prepared by the Bureau, and which have been approved by the Executive Yuan upon submission thereof by National Science and Technology Council</w:t>
      </w:r>
      <w:r w:rsidR="000D5875" w:rsidRPr="002C62E1">
        <w:rPr>
          <w:rFonts w:ascii="Cagliostro" w:eastAsia="微軟正黑體" w:hAnsi="Cagliostro" w:cstheme="minorHAnsi"/>
        </w:rPr>
        <w:t>.</w:t>
      </w:r>
    </w:p>
    <w:p w14:paraId="7F8114A9" w14:textId="77777777" w:rsidR="00B75533" w:rsidRPr="002C62E1" w:rsidRDefault="00B75533" w:rsidP="00B75533">
      <w:pPr>
        <w:rPr>
          <w:rFonts w:eastAsia="微軟正黑體" w:cstheme="minorHAnsi"/>
        </w:rPr>
      </w:pPr>
      <w:r w:rsidRPr="002C62E1">
        <w:rPr>
          <w:rFonts w:eastAsia="微軟正黑體" w:cstheme="minorHAnsi"/>
        </w:rPr>
        <w:t xml:space="preserve">Attachment </w:t>
      </w:r>
      <w:proofErr w:type="gramStart"/>
      <w:r w:rsidRPr="002C62E1">
        <w:rPr>
          <w:rFonts w:eastAsia="微軟正黑體" w:cstheme="minorHAnsi"/>
        </w:rPr>
        <w:t>I:Table</w:t>
      </w:r>
      <w:proofErr w:type="gramEnd"/>
      <w:r w:rsidRPr="002C62E1">
        <w:rPr>
          <w:rFonts w:eastAsia="微軟正黑體" w:cstheme="minorHAnsi"/>
        </w:rPr>
        <w:t xml:space="preserve"> of Floating Rates of the Management Fees for the Park Enterprises not Located in Urban Parks.pdf</w:t>
      </w:r>
    </w:p>
    <w:p w14:paraId="1602A1CA" w14:textId="77777777" w:rsidR="00B75533" w:rsidRPr="002C62E1" w:rsidRDefault="00B75533" w:rsidP="00B75533">
      <w:pPr>
        <w:rPr>
          <w:rFonts w:eastAsia="微軟正黑體" w:cstheme="minorHAnsi"/>
        </w:rPr>
      </w:pPr>
      <w:r w:rsidRPr="002C62E1">
        <w:rPr>
          <w:rFonts w:eastAsia="微軟正黑體" w:cstheme="minorHAnsi"/>
        </w:rPr>
        <w:t xml:space="preserve">Attachment </w:t>
      </w:r>
      <w:proofErr w:type="gramStart"/>
      <w:r w:rsidRPr="002C62E1">
        <w:rPr>
          <w:rFonts w:eastAsia="微軟正黑體" w:cstheme="minorHAnsi"/>
        </w:rPr>
        <w:t>I:Table</w:t>
      </w:r>
      <w:proofErr w:type="gramEnd"/>
      <w:r w:rsidRPr="002C62E1">
        <w:rPr>
          <w:rFonts w:eastAsia="微軟正黑體" w:cstheme="minorHAnsi"/>
        </w:rPr>
        <w:t xml:space="preserve"> of Floating Rates of the Management Fees for the Park Enterprises not Located in Urban Parks.doc</w:t>
      </w:r>
    </w:p>
    <w:p w14:paraId="7E0588BD" w14:textId="77777777" w:rsidR="00B75533" w:rsidRPr="002C62E1" w:rsidRDefault="00B75533" w:rsidP="00B75533">
      <w:pPr>
        <w:rPr>
          <w:rFonts w:eastAsia="微軟正黑體" w:cstheme="minorHAnsi"/>
        </w:rPr>
      </w:pPr>
      <w:r w:rsidRPr="002C62E1">
        <w:rPr>
          <w:rFonts w:eastAsia="微軟正黑體" w:cstheme="minorHAnsi"/>
        </w:rPr>
        <w:t>Attachment II</w:t>
      </w:r>
    </w:p>
    <w:p w14:paraId="355BAA01" w14:textId="77777777" w:rsidR="00B75533" w:rsidRPr="002C62E1" w:rsidRDefault="00B75533" w:rsidP="00B75533">
      <w:pPr>
        <w:rPr>
          <w:rFonts w:eastAsia="微軟正黑體" w:cstheme="minorHAnsi"/>
        </w:rPr>
      </w:pPr>
      <w:r w:rsidRPr="002C62E1">
        <w:rPr>
          <w:rFonts w:eastAsia="微軟正黑體" w:cstheme="minorHAnsi"/>
        </w:rPr>
        <w:t>Table of Rates of the Management Fees for the Park Enterprises Located in Urban Parks.pdf</w:t>
      </w:r>
    </w:p>
    <w:p w14:paraId="1895BF35" w14:textId="77777777" w:rsidR="00B75533" w:rsidRPr="002C62E1" w:rsidRDefault="00B75533" w:rsidP="00B75533">
      <w:pPr>
        <w:rPr>
          <w:rFonts w:eastAsia="微軟正黑體" w:cstheme="minorHAnsi"/>
        </w:rPr>
      </w:pPr>
      <w:r w:rsidRPr="002C62E1">
        <w:rPr>
          <w:rFonts w:eastAsia="微軟正黑體" w:cstheme="minorHAnsi"/>
        </w:rPr>
        <w:t>Attachment II</w:t>
      </w:r>
    </w:p>
    <w:p w14:paraId="08C6B05A" w14:textId="43D51BBC" w:rsidR="00B75533" w:rsidRPr="002C62E1" w:rsidRDefault="00B75533" w:rsidP="00B75533">
      <w:pPr>
        <w:spacing w:afterLines="50" w:after="120"/>
        <w:jc w:val="both"/>
        <w:rPr>
          <w:rFonts w:ascii="Cagliostro" w:eastAsia="微軟正黑體" w:hAnsi="Cagliostro" w:cstheme="minorHAnsi"/>
        </w:rPr>
      </w:pPr>
      <w:r w:rsidRPr="002C62E1">
        <w:rPr>
          <w:rFonts w:eastAsia="微軟正黑體" w:cstheme="minorHAnsi"/>
        </w:rPr>
        <w:t>Table of Rates of the Management Fees for the Park Enterprises Located in Urban Parks.doc</w:t>
      </w:r>
    </w:p>
    <w:p w14:paraId="43857C19" w14:textId="129474C4"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4</w:t>
      </w:r>
    </w:p>
    <w:p w14:paraId="72F6AD76" w14:textId="6D41F10B" w:rsidR="000D5875" w:rsidRPr="002C62E1" w:rsidRDefault="0074736E" w:rsidP="000D5875">
      <w:pPr>
        <w:spacing w:afterLines="50" w:after="120"/>
        <w:jc w:val="both"/>
        <w:rPr>
          <w:rFonts w:ascii="Cagliostro" w:eastAsia="微軟正黑體" w:hAnsi="Cagliostro" w:cstheme="minorHAnsi"/>
        </w:rPr>
      </w:pPr>
      <w:r w:rsidRPr="002C62E1">
        <w:rPr>
          <w:rFonts w:eastAsia="微軟正黑體" w:cstheme="minorHAnsi"/>
        </w:rPr>
        <w:t>Park enterprises shall pay one point nine thousandth (1.9/1000) of the sales revenue as the management fee if the amount calculated based on the sales revenue exceeds the management fees prescribed in the preceding paragraph</w:t>
      </w:r>
      <w:r w:rsidR="000D5875" w:rsidRPr="002C62E1">
        <w:rPr>
          <w:rFonts w:ascii="Cagliostro" w:eastAsia="微軟正黑體" w:hAnsi="Cagliostro" w:cstheme="minorHAnsi"/>
        </w:rPr>
        <w:t>.</w:t>
      </w:r>
    </w:p>
    <w:p w14:paraId="7C698BAA" w14:textId="39471FAC" w:rsidR="000D5875" w:rsidRPr="002C62E1" w:rsidRDefault="0074736E" w:rsidP="000D5875">
      <w:pPr>
        <w:spacing w:afterLines="50" w:after="120"/>
        <w:jc w:val="both"/>
        <w:rPr>
          <w:rFonts w:ascii="Cagliostro" w:eastAsia="微軟正黑體" w:hAnsi="Cagliostro" w:cstheme="minorHAnsi"/>
        </w:rPr>
      </w:pPr>
      <w:r w:rsidRPr="002C62E1">
        <w:rPr>
          <w:rFonts w:eastAsia="微軟正黑體" w:cstheme="minorHAnsi"/>
        </w:rPr>
        <w:t>In the event that the park enterprises set up the headquarter within the Park, and branches outside the Park, or vice versa, the headquarter and branches shall respectively report their sales amount and pay the business tax thereof to the competent tax authority where each is located</w:t>
      </w:r>
      <w:r w:rsidR="000D5875" w:rsidRPr="002C62E1">
        <w:rPr>
          <w:rFonts w:ascii="Cagliostro" w:eastAsia="微軟正黑體" w:hAnsi="Cagliostro" w:cstheme="minorHAnsi"/>
        </w:rPr>
        <w:t>.</w:t>
      </w:r>
    </w:p>
    <w:p w14:paraId="781FE613" w14:textId="6B37B344" w:rsidR="000D5875" w:rsidRPr="002C62E1" w:rsidRDefault="0074736E" w:rsidP="000D5875">
      <w:pPr>
        <w:spacing w:afterLines="50" w:after="120"/>
        <w:jc w:val="both"/>
        <w:rPr>
          <w:rFonts w:ascii="Cagliostro" w:eastAsia="微軟正黑體" w:hAnsi="Cagliostro" w:cstheme="minorHAnsi"/>
        </w:rPr>
      </w:pPr>
      <w:r w:rsidRPr="002C62E1">
        <w:rPr>
          <w:rFonts w:eastAsia="微軟正黑體" w:cstheme="minorHAnsi"/>
        </w:rPr>
        <w:lastRenderedPageBreak/>
        <w:t>The term "sales revenue" as used in this Regulation shall mean the aggregated amount of the sales amounts noted on the Business Operator's Sales Amount and Tax Return, receipts and the allocation or transfer of services and goods between headquarter and branches or other basis that is sufficient to objectively calculate the value of output, after deducting the amount of the items specified in Article 10 hereof</w:t>
      </w:r>
      <w:r w:rsidR="000D5875" w:rsidRPr="002C62E1">
        <w:rPr>
          <w:rFonts w:ascii="Cagliostro" w:eastAsia="微軟正黑體" w:hAnsi="Cagliostro" w:cstheme="minorHAnsi"/>
        </w:rPr>
        <w:t>.</w:t>
      </w:r>
    </w:p>
    <w:p w14:paraId="7ACA67B3" w14:textId="730111E2"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5</w:t>
      </w:r>
    </w:p>
    <w:p w14:paraId="41F94785" w14:textId="061B5663" w:rsidR="000D5875" w:rsidRPr="002C62E1" w:rsidRDefault="00106075" w:rsidP="000D5875">
      <w:pPr>
        <w:spacing w:afterLines="50" w:after="120"/>
        <w:jc w:val="both"/>
        <w:rPr>
          <w:rFonts w:ascii="Cagliostro" w:eastAsia="微軟正黑體" w:hAnsi="Cagliostro" w:cstheme="minorHAnsi"/>
        </w:rPr>
      </w:pPr>
      <w:r w:rsidRPr="002C62E1">
        <w:rPr>
          <w:rFonts w:eastAsia="微軟正黑體" w:cstheme="minorHAnsi"/>
        </w:rPr>
        <w:t>For park enterprises that are partly located in urban parks, the management fees prescribed in Article 3 and Paragraph 1 of the preceding article shall be calculated separately</w:t>
      </w:r>
      <w:r w:rsidR="000D5875" w:rsidRPr="002C62E1">
        <w:rPr>
          <w:rFonts w:ascii="Cagliostro" w:eastAsia="微軟正黑體" w:hAnsi="Cagliostro" w:cstheme="minorHAnsi"/>
        </w:rPr>
        <w:t xml:space="preserve">.  </w:t>
      </w:r>
    </w:p>
    <w:p w14:paraId="13399F26" w14:textId="314BE58E"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6</w:t>
      </w:r>
    </w:p>
    <w:p w14:paraId="249B2283" w14:textId="2569C1AA" w:rsidR="000D5875" w:rsidRPr="002C62E1" w:rsidRDefault="0010622E" w:rsidP="000D5875">
      <w:pPr>
        <w:spacing w:afterLines="50" w:after="120"/>
        <w:jc w:val="both"/>
        <w:rPr>
          <w:rFonts w:ascii="Cagliostro" w:eastAsia="微軟正黑體" w:hAnsi="Cagliostro" w:cstheme="minorHAnsi"/>
        </w:rPr>
      </w:pPr>
      <w:r w:rsidRPr="002C62E1">
        <w:rPr>
          <w:rFonts w:eastAsia="微軟正黑體" w:cstheme="minorHAnsi"/>
        </w:rPr>
        <w:t>The park enterprises or the financial institutions established in parks shall pay the management fees, commencing from the first day of the subsequent month following the approval date of business registration approval granted by the competent tax authority; those park enterprises who have not obtained approval of the business registration from the competent tax authority shall pay the management fees commencing from the first day of the subsequent month following the first anniversary of registration of corporation, branch or limited partnership</w:t>
      </w:r>
      <w:r w:rsidR="000D5875" w:rsidRPr="002C62E1">
        <w:rPr>
          <w:rFonts w:ascii="Cagliostro" w:eastAsia="微軟正黑體" w:hAnsi="Cagliostro" w:cstheme="minorHAnsi"/>
        </w:rPr>
        <w:t>.</w:t>
      </w:r>
    </w:p>
    <w:p w14:paraId="6E87CDC9" w14:textId="7B90ED9C" w:rsidR="000D5875" w:rsidRPr="002C62E1" w:rsidRDefault="0010622E" w:rsidP="000D5875">
      <w:pPr>
        <w:spacing w:afterLines="50" w:after="120"/>
        <w:jc w:val="both"/>
        <w:rPr>
          <w:rFonts w:ascii="Cagliostro" w:eastAsia="微軟正黑體" w:hAnsi="Cagliostro" w:cstheme="minorHAnsi"/>
        </w:rPr>
      </w:pPr>
      <w:r w:rsidRPr="002C62E1">
        <w:rPr>
          <w:rFonts w:eastAsia="微軟正黑體" w:cstheme="minorHAnsi"/>
        </w:rPr>
        <w:t>For those park enterprises as mentioned in the preceding paragraph and have set up factories in other parks but have not yet completed the factory registration, the management fees shall be paid commencing from the first day of the subsequent month following the first anniversary of land or factory lease contract; for those factories located in other parks which have completed the factory registration, the management fees thereof shall be paid commencing from the first day of the subsequent month following the completion of factory registration</w:t>
      </w:r>
      <w:r w:rsidR="000D5875" w:rsidRPr="002C62E1">
        <w:rPr>
          <w:rFonts w:ascii="Cagliostro" w:eastAsia="微軟正黑體" w:hAnsi="Cagliostro" w:cstheme="minorHAnsi"/>
        </w:rPr>
        <w:t>.</w:t>
      </w:r>
    </w:p>
    <w:p w14:paraId="6AEE7BD2" w14:textId="4CDEDF33" w:rsidR="000D5875" w:rsidRPr="002C62E1" w:rsidRDefault="00630487" w:rsidP="000D5875">
      <w:pPr>
        <w:spacing w:afterLines="50" w:after="120"/>
        <w:jc w:val="both"/>
        <w:rPr>
          <w:rFonts w:ascii="Cagliostro" w:eastAsia="微軟正黑體" w:hAnsi="Cagliostro" w:cstheme="minorHAnsi"/>
        </w:rPr>
      </w:pPr>
      <w:r w:rsidRPr="002C62E1">
        <w:rPr>
          <w:rFonts w:eastAsia="微軟正黑體" w:cstheme="minorHAnsi"/>
        </w:rPr>
        <w:t>For park enterprises other than those mentioned in the preceding two paragraphs, the management fees shall be paid commencing from the first day of the subsequent month following the effective date of the lease contract with the Bureau or other self-builder of the rented land</w:t>
      </w:r>
      <w:r w:rsidR="000D5875" w:rsidRPr="002C62E1">
        <w:rPr>
          <w:rFonts w:ascii="Cagliostro" w:eastAsia="微軟正黑體" w:hAnsi="Cagliostro" w:cstheme="minorHAnsi"/>
        </w:rPr>
        <w:t>.</w:t>
      </w:r>
    </w:p>
    <w:p w14:paraId="5A112564" w14:textId="1BFA74D6"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7</w:t>
      </w:r>
    </w:p>
    <w:p w14:paraId="5ED46224" w14:textId="7FB5D616" w:rsidR="000D5875" w:rsidRPr="002C62E1" w:rsidRDefault="003B739A" w:rsidP="000D5875">
      <w:pPr>
        <w:spacing w:afterLines="50" w:after="120"/>
        <w:jc w:val="both"/>
        <w:rPr>
          <w:rFonts w:ascii="Cagliostro" w:eastAsia="微軟正黑體" w:hAnsi="Cagliostro" w:cstheme="minorHAnsi"/>
        </w:rPr>
      </w:pPr>
      <w:r w:rsidRPr="002C62E1">
        <w:rPr>
          <w:rFonts w:eastAsia="微軟正黑體" w:cstheme="minorHAnsi"/>
        </w:rPr>
        <w:t xml:space="preserve">Financial institutions shall pay the management fees based upon two ten thousandth (2/10000) of the sales amount and not be bound by the payment of management fees as set forth under paragraph 1 of Article </w:t>
      </w:r>
      <w:proofErr w:type="gramStart"/>
      <w:r w:rsidRPr="002C62E1">
        <w:rPr>
          <w:rFonts w:eastAsia="微軟正黑體" w:cstheme="minorHAnsi"/>
        </w:rPr>
        <w:t>3.</w:t>
      </w:r>
      <w:r w:rsidR="000D5875" w:rsidRPr="002C62E1">
        <w:rPr>
          <w:rFonts w:ascii="Cagliostro" w:eastAsia="微軟正黑體" w:hAnsi="Cagliostro" w:cstheme="minorHAnsi"/>
        </w:rPr>
        <w:t>.</w:t>
      </w:r>
      <w:proofErr w:type="gramEnd"/>
    </w:p>
    <w:p w14:paraId="14C5DFBD" w14:textId="0DEAD7F9"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8</w:t>
      </w:r>
    </w:p>
    <w:p w14:paraId="06251547" w14:textId="2F8BB380" w:rsidR="000D5875" w:rsidRPr="002C62E1" w:rsidRDefault="005624F9" w:rsidP="000D5875">
      <w:pPr>
        <w:spacing w:afterLines="50" w:after="120"/>
        <w:jc w:val="both"/>
        <w:rPr>
          <w:rFonts w:ascii="Cagliostro" w:eastAsia="微軟正黑體" w:hAnsi="Cagliostro" w:cstheme="minorHAnsi"/>
        </w:rPr>
      </w:pPr>
      <w:r w:rsidRPr="002C62E1">
        <w:rPr>
          <w:rFonts w:eastAsia="微軟正黑體" w:cstheme="minorHAnsi"/>
        </w:rPr>
        <w:t>Except for the park enterprises and financial institutions, other institutions shall pay the management fees in accordance with the list of collection fees as shown in Attachment III</w:t>
      </w:r>
      <w:r w:rsidR="000D5875" w:rsidRPr="002C62E1">
        <w:rPr>
          <w:rFonts w:ascii="Cagliostro" w:eastAsia="微軟正黑體" w:hAnsi="Cagliostro" w:cstheme="minorHAnsi"/>
        </w:rPr>
        <w:t>.</w:t>
      </w:r>
    </w:p>
    <w:p w14:paraId="57AE006F" w14:textId="360EFA3B" w:rsidR="000D5875" w:rsidRPr="002C62E1" w:rsidRDefault="00754724" w:rsidP="000D5875">
      <w:pPr>
        <w:spacing w:afterLines="50" w:after="120"/>
        <w:jc w:val="both"/>
        <w:rPr>
          <w:rFonts w:ascii="Cagliostro" w:eastAsia="微軟正黑體" w:hAnsi="Cagliostro" w:cstheme="minorHAnsi"/>
        </w:rPr>
      </w:pPr>
      <w:r w:rsidRPr="002C62E1">
        <w:rPr>
          <w:rFonts w:eastAsia="微軟正黑體" w:cstheme="minorHAnsi"/>
        </w:rPr>
        <w:t>The classification of other institutions shall be determined by the Park Bureau according to the actual nature of the institutions</w:t>
      </w:r>
      <w:r w:rsidR="000D5875" w:rsidRPr="002C62E1">
        <w:rPr>
          <w:rFonts w:ascii="Cagliostro" w:eastAsia="微軟正黑體" w:hAnsi="Cagliostro" w:cstheme="minorHAnsi"/>
        </w:rPr>
        <w:t>.</w:t>
      </w:r>
    </w:p>
    <w:p w14:paraId="495392A4" w14:textId="7EF7B19B" w:rsidR="000D5875" w:rsidRPr="002C62E1" w:rsidRDefault="004530A4" w:rsidP="000D5875">
      <w:pPr>
        <w:spacing w:afterLines="50" w:after="120"/>
        <w:jc w:val="both"/>
        <w:rPr>
          <w:rFonts w:eastAsia="微軟正黑體" w:cstheme="minorHAnsi"/>
        </w:rPr>
      </w:pPr>
      <w:r w:rsidRPr="002C62E1">
        <w:rPr>
          <w:rFonts w:eastAsia="微軟正黑體" w:cstheme="minorHAnsi"/>
        </w:rPr>
        <w:t>Fees computed according to the rental area in Attachment III, if found to be apparently unfair, can be adjusted to the computation based upon the actual area in use under the approval of the Bureau.</w:t>
      </w:r>
    </w:p>
    <w:p w14:paraId="72941AC9" w14:textId="77777777" w:rsidR="00666787" w:rsidRPr="002C62E1" w:rsidRDefault="00666787" w:rsidP="00666787">
      <w:pPr>
        <w:jc w:val="both"/>
        <w:rPr>
          <w:rFonts w:eastAsia="標楷體" w:cstheme="minorHAnsi"/>
          <w:kern w:val="0"/>
          <w:szCs w:val="24"/>
        </w:rPr>
      </w:pPr>
      <w:r w:rsidRPr="002C62E1">
        <w:rPr>
          <w:rFonts w:eastAsia="微軟正黑體" w:cstheme="minorHAnsi"/>
        </w:rPr>
        <w:t>Attachment III:</w:t>
      </w:r>
    </w:p>
    <w:p w14:paraId="36D489BB" w14:textId="77777777" w:rsidR="00666787" w:rsidRPr="002C62E1" w:rsidRDefault="00666787" w:rsidP="00666787">
      <w:pPr>
        <w:jc w:val="both"/>
        <w:rPr>
          <w:rFonts w:cstheme="minorHAnsi"/>
        </w:rPr>
      </w:pPr>
      <w:r w:rsidRPr="002C62E1">
        <w:rPr>
          <w:rFonts w:eastAsia="微軟正黑體" w:cstheme="minorHAnsi"/>
        </w:rPr>
        <w:t>List of Management Fees for Other</w:t>
      </w:r>
      <w:r w:rsidRPr="002C62E1">
        <w:rPr>
          <w:rFonts w:ascii="Cagliostro" w:eastAsia="微軟正黑體" w:hAnsi="Cagliostro" w:cstheme="minorHAnsi"/>
        </w:rPr>
        <w:t xml:space="preserve"> </w:t>
      </w:r>
      <w:r w:rsidRPr="002C62E1">
        <w:rPr>
          <w:rFonts w:eastAsia="微軟正黑體" w:cstheme="minorHAnsi"/>
        </w:rPr>
        <w:t>Institutions within the Science Park (Excluding Park Enterprises and Financial Institutions in the Park)</w:t>
      </w:r>
      <w:r w:rsidRPr="002C62E1">
        <w:rPr>
          <w:rFonts w:cstheme="minorHAnsi"/>
        </w:rPr>
        <w:t xml:space="preserve"> .pdf</w:t>
      </w:r>
    </w:p>
    <w:p w14:paraId="12B49664" w14:textId="77777777" w:rsidR="00666787" w:rsidRPr="002C62E1" w:rsidRDefault="00666787" w:rsidP="00666787">
      <w:pPr>
        <w:jc w:val="both"/>
        <w:rPr>
          <w:rFonts w:eastAsia="標楷體" w:cstheme="minorHAnsi"/>
          <w:kern w:val="0"/>
          <w:szCs w:val="24"/>
        </w:rPr>
      </w:pPr>
      <w:r w:rsidRPr="002C62E1">
        <w:rPr>
          <w:rFonts w:eastAsia="微軟正黑體" w:cstheme="minorHAnsi"/>
        </w:rPr>
        <w:t>Attachment III:</w:t>
      </w:r>
    </w:p>
    <w:p w14:paraId="7F657706" w14:textId="34FA2A6F" w:rsidR="00666787" w:rsidRPr="002C62E1" w:rsidRDefault="00666787" w:rsidP="00666787">
      <w:pPr>
        <w:spacing w:afterLines="50" w:after="120"/>
        <w:jc w:val="both"/>
        <w:rPr>
          <w:rFonts w:ascii="Cagliostro" w:eastAsia="微軟正黑體" w:hAnsi="Cagliostro" w:cstheme="minorHAnsi"/>
        </w:rPr>
      </w:pPr>
      <w:r w:rsidRPr="002C62E1">
        <w:rPr>
          <w:rFonts w:eastAsia="微軟正黑體" w:cstheme="minorHAnsi"/>
        </w:rPr>
        <w:t>List of Management Fees for Other Institutions within the Science Park (Excluding Park Enterprises and Financial Institutions in the Park)</w:t>
      </w:r>
      <w:r w:rsidRPr="002C62E1">
        <w:rPr>
          <w:rFonts w:cstheme="minorHAnsi"/>
        </w:rPr>
        <w:t xml:space="preserve"> .doc</w:t>
      </w:r>
    </w:p>
    <w:p w14:paraId="262D8222" w14:textId="4FF621B2"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9</w:t>
      </w:r>
    </w:p>
    <w:p w14:paraId="3AE6230D" w14:textId="31724DDC" w:rsidR="000D5875" w:rsidRPr="002C62E1" w:rsidRDefault="00295741" w:rsidP="000D5875">
      <w:pPr>
        <w:spacing w:afterLines="50" w:after="120"/>
        <w:jc w:val="both"/>
        <w:rPr>
          <w:rFonts w:ascii="Cagliostro" w:eastAsia="微軟正黑體" w:hAnsi="Cagliostro" w:cstheme="minorHAnsi"/>
        </w:rPr>
      </w:pPr>
      <w:r w:rsidRPr="002C62E1">
        <w:rPr>
          <w:rFonts w:eastAsia="微軟正黑體" w:cstheme="minorHAnsi"/>
        </w:rPr>
        <w:t xml:space="preserve">For park enterprises and financial institutions reporting their management fees, the procedure, </w:t>
      </w:r>
      <w:r w:rsidRPr="002C62E1">
        <w:rPr>
          <w:rFonts w:eastAsia="微軟正黑體" w:cstheme="minorHAnsi"/>
        </w:rPr>
        <w:lastRenderedPageBreak/>
        <w:t>deadline of payment and relevant supporting documents are as follows</w:t>
      </w:r>
      <w:r w:rsidR="000D5875" w:rsidRPr="002C62E1">
        <w:rPr>
          <w:rFonts w:ascii="Cagliostro" w:eastAsia="微軟正黑體" w:hAnsi="Cagliostro" w:cstheme="minorHAnsi"/>
        </w:rPr>
        <w:t>:</w:t>
      </w:r>
    </w:p>
    <w:p w14:paraId="29DB7541" w14:textId="402132B8" w:rsidR="000D5875" w:rsidRPr="002C62E1" w:rsidRDefault="000D5875" w:rsidP="000D5875">
      <w:pPr>
        <w:spacing w:afterLines="50" w:after="120"/>
        <w:ind w:left="425" w:hangingChars="177" w:hanging="425"/>
        <w:jc w:val="both"/>
        <w:rPr>
          <w:rFonts w:ascii="Cagliostro" w:eastAsia="微軟正黑體" w:hAnsi="Cagliostro" w:cstheme="minorHAnsi"/>
        </w:rPr>
      </w:pPr>
      <w:r w:rsidRPr="002C62E1">
        <w:rPr>
          <w:rFonts w:ascii="Cagliostro" w:eastAsia="微軟正黑體" w:hAnsi="Cagliostro" w:cstheme="minorHAnsi"/>
        </w:rPr>
        <w:t xml:space="preserve">1. </w:t>
      </w:r>
      <w:r w:rsidRPr="002C62E1">
        <w:rPr>
          <w:rFonts w:ascii="Cagliostro" w:eastAsia="微軟正黑體" w:hAnsi="Cagliostro" w:cstheme="minorHAnsi"/>
        </w:rPr>
        <w:tab/>
      </w:r>
      <w:r w:rsidR="00295741" w:rsidRPr="002C62E1">
        <w:rPr>
          <w:rFonts w:eastAsia="微軟正黑體" w:cstheme="minorHAnsi"/>
        </w:rPr>
        <w:t>The management fees shall be paid every two months. The payment shall be voluntarily reported and paid to the bank designated by Bureau by the twentieth day of each odd month</w:t>
      </w:r>
      <w:r w:rsidRPr="002C62E1">
        <w:rPr>
          <w:rFonts w:ascii="Cagliostro" w:eastAsia="微軟正黑體" w:hAnsi="Cagliostro" w:cstheme="minorHAnsi"/>
        </w:rPr>
        <w:t>.</w:t>
      </w:r>
    </w:p>
    <w:p w14:paraId="632DF5AF" w14:textId="263131BC" w:rsidR="000D5875" w:rsidRPr="002C62E1" w:rsidRDefault="000D5875" w:rsidP="000D5875">
      <w:pPr>
        <w:spacing w:afterLines="50" w:after="120"/>
        <w:ind w:left="425" w:hangingChars="177" w:hanging="425"/>
        <w:jc w:val="both"/>
        <w:rPr>
          <w:rFonts w:ascii="Cagliostro" w:eastAsia="微軟正黑體" w:hAnsi="Cagliostro" w:cstheme="minorHAnsi"/>
        </w:rPr>
      </w:pPr>
      <w:r w:rsidRPr="002C62E1">
        <w:rPr>
          <w:rFonts w:ascii="Cagliostro" w:eastAsia="微軟正黑體" w:hAnsi="Cagliostro" w:cstheme="minorHAnsi"/>
        </w:rPr>
        <w:t xml:space="preserve">2. </w:t>
      </w:r>
      <w:r w:rsidRPr="002C62E1">
        <w:rPr>
          <w:rFonts w:ascii="Cagliostro" w:eastAsia="微軟正黑體" w:hAnsi="Cagliostro" w:cstheme="minorHAnsi"/>
        </w:rPr>
        <w:tab/>
      </w:r>
      <w:r w:rsidR="00295741" w:rsidRPr="002C62E1">
        <w:rPr>
          <w:rFonts w:eastAsia="微軟正黑體" w:cstheme="minorHAnsi"/>
        </w:rPr>
        <w:t>When paying the management fees, the park enterprises having obtained the approval of business registration from the competent tax authority shall provide the detailed list of self-reported management fees, a photocopy of the "Business Operator's Sales Amount and Tax Return" affixed with the receipt seal of the competent tax authority, certificates for deduction items and the "Detailed lists for exemption from the use of uniform invoice receipt by Science Park Enterprises," and the park enterprises shall have the aggregated amount of the receipts filled in the related columns of "Business Operator's Sales Amount and Tax Return." In the event that a park enterprise sets up its headquarter within the Park and branches outside the Park, or vice versa, and that the headquarter reports its sales amount together with the sales amount of its branches and pays the business tax thereof to the competent tax authority where the headquarter is located, such a park enterprise shall additionally submit its "Business Operator's Sales Amount and Tax Return" affixed with the receipt seal of the competent tax authority. The Bureau may request such a park enterprise to provide import/export declarations, delivery certificates, sales orders or other supporting documents which are sufficient to prove its sales revenues and satisfactory to the Bureau</w:t>
      </w:r>
      <w:r w:rsidRPr="002C62E1">
        <w:rPr>
          <w:rFonts w:ascii="Cagliostro" w:eastAsia="微軟正黑體" w:hAnsi="Cagliostro" w:cstheme="minorHAnsi"/>
        </w:rPr>
        <w:t>.</w:t>
      </w:r>
    </w:p>
    <w:p w14:paraId="753727D1" w14:textId="14E58178" w:rsidR="000D5875" w:rsidRPr="002C62E1" w:rsidRDefault="000D5875" w:rsidP="000D5875">
      <w:pPr>
        <w:spacing w:afterLines="50" w:after="120"/>
        <w:ind w:left="425" w:hangingChars="177" w:hanging="425"/>
        <w:jc w:val="both"/>
        <w:rPr>
          <w:rFonts w:ascii="Cagliostro" w:eastAsia="微軟正黑體" w:hAnsi="Cagliostro" w:cstheme="minorHAnsi"/>
        </w:rPr>
      </w:pPr>
      <w:r w:rsidRPr="002C62E1">
        <w:rPr>
          <w:rFonts w:ascii="Cagliostro" w:eastAsia="微軟正黑體" w:hAnsi="Cagliostro" w:cstheme="minorHAnsi"/>
        </w:rPr>
        <w:t xml:space="preserve">3. </w:t>
      </w:r>
      <w:r w:rsidRPr="002C62E1">
        <w:rPr>
          <w:rFonts w:ascii="Cagliostro" w:eastAsia="微軟正黑體" w:hAnsi="Cagliostro" w:cstheme="minorHAnsi"/>
        </w:rPr>
        <w:tab/>
      </w:r>
      <w:r w:rsidR="003B0F5C" w:rsidRPr="002C62E1">
        <w:rPr>
          <w:rFonts w:eastAsia="微軟正黑體" w:cstheme="minorHAnsi"/>
        </w:rPr>
        <w:t>Those park enterprises failed to obtain the approval of the business registration from the competent tax authority shall provide the detailed list of self-reported management fees when paying the management fees</w:t>
      </w:r>
      <w:r w:rsidRPr="002C62E1">
        <w:rPr>
          <w:rFonts w:ascii="Cagliostro" w:eastAsia="微軟正黑體" w:hAnsi="Cagliostro" w:cstheme="minorHAnsi"/>
        </w:rPr>
        <w:t>.</w:t>
      </w:r>
    </w:p>
    <w:p w14:paraId="5FFF76AF" w14:textId="720B1EA9" w:rsidR="000D5875" w:rsidRPr="002C62E1" w:rsidRDefault="000D5875" w:rsidP="000D5875">
      <w:pPr>
        <w:spacing w:afterLines="50" w:after="120"/>
        <w:ind w:left="425" w:hangingChars="177" w:hanging="425"/>
        <w:jc w:val="both"/>
        <w:rPr>
          <w:rFonts w:ascii="Cagliostro" w:eastAsia="微軟正黑體" w:hAnsi="Cagliostro" w:cstheme="minorHAnsi"/>
        </w:rPr>
      </w:pPr>
      <w:r w:rsidRPr="002C62E1">
        <w:rPr>
          <w:rFonts w:ascii="Cagliostro" w:eastAsia="微軟正黑體" w:hAnsi="Cagliostro" w:cstheme="minorHAnsi"/>
        </w:rPr>
        <w:t xml:space="preserve">4. </w:t>
      </w:r>
      <w:r w:rsidRPr="002C62E1">
        <w:rPr>
          <w:rFonts w:ascii="Cagliostro" w:eastAsia="微軟正黑體" w:hAnsi="Cagliostro" w:cstheme="minorHAnsi"/>
        </w:rPr>
        <w:tab/>
      </w:r>
      <w:r w:rsidR="003B0F5C" w:rsidRPr="002C62E1">
        <w:rPr>
          <w:rFonts w:eastAsia="微軟正黑體" w:cstheme="minorHAnsi"/>
        </w:rPr>
        <w:t>The financial institutions shall provide a photocopy of the "Business Operator's Sales Amount and Tax Return" affixed with the receipt seal of the competent tax authority</w:t>
      </w:r>
      <w:r w:rsidRPr="002C62E1">
        <w:rPr>
          <w:rFonts w:ascii="Cagliostro" w:eastAsia="微軟正黑體" w:hAnsi="Cagliostro" w:cstheme="minorHAnsi"/>
        </w:rPr>
        <w:t>.</w:t>
      </w:r>
    </w:p>
    <w:p w14:paraId="6678F7DB" w14:textId="426FE90E" w:rsidR="000D5875" w:rsidRPr="002C62E1" w:rsidRDefault="00930589" w:rsidP="000D5875">
      <w:pPr>
        <w:spacing w:afterLines="50" w:after="120"/>
        <w:jc w:val="both"/>
        <w:rPr>
          <w:rFonts w:ascii="Cagliostro" w:eastAsia="微軟正黑體" w:hAnsi="Cagliostro" w:cstheme="minorHAnsi"/>
        </w:rPr>
      </w:pPr>
      <w:r w:rsidRPr="002C62E1">
        <w:rPr>
          <w:rFonts w:eastAsia="微軟正黑體" w:cstheme="minorHAnsi"/>
        </w:rPr>
        <w:t>The detailed list of self-reported management fees provided pursuant to the second and third subparagraph of the preceding paragraph shall be reported online in accordance with the management fee reporting system established by the Bureau</w:t>
      </w:r>
      <w:r w:rsidR="000D5875" w:rsidRPr="002C62E1">
        <w:rPr>
          <w:rFonts w:ascii="Cagliostro" w:eastAsia="微軟正黑體" w:hAnsi="Cagliostro" w:cstheme="minorHAnsi"/>
        </w:rPr>
        <w:t>.</w:t>
      </w:r>
    </w:p>
    <w:p w14:paraId="49C9760F" w14:textId="27058968" w:rsidR="000D5875" w:rsidRPr="002C62E1" w:rsidRDefault="00930589" w:rsidP="000D5875">
      <w:pPr>
        <w:spacing w:afterLines="50" w:after="120"/>
        <w:jc w:val="both"/>
        <w:rPr>
          <w:rFonts w:ascii="Cagliostro" w:eastAsia="微軟正黑體" w:hAnsi="Cagliostro" w:cstheme="minorHAnsi"/>
        </w:rPr>
      </w:pPr>
      <w:r w:rsidRPr="002C62E1">
        <w:rPr>
          <w:rFonts w:eastAsia="微軟正黑體" w:cstheme="minorHAnsi"/>
        </w:rPr>
        <w:t>If the Bureau finds any underpayment made by the park enterprises and the financial institutions, the park enterprises and the financial institutions shall fill up the shortage thereof when paying the next management fees. If there is any correction in the reported sales amount previously filed with the competent tax authority, the management fees of the previous period shall be adjusted by including the adjusted sales amount in the management fees report for the month in which correction is made</w:t>
      </w:r>
      <w:r w:rsidR="000D5875" w:rsidRPr="002C62E1">
        <w:rPr>
          <w:rFonts w:ascii="Cagliostro" w:eastAsia="微軟正黑體" w:hAnsi="Cagliostro" w:cstheme="minorHAnsi"/>
        </w:rPr>
        <w:t>.</w:t>
      </w:r>
    </w:p>
    <w:p w14:paraId="50C2EDB2" w14:textId="75DFA7CE"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10</w:t>
      </w:r>
    </w:p>
    <w:p w14:paraId="6125B41B" w14:textId="661B14B8" w:rsidR="000D5875" w:rsidRPr="002C62E1" w:rsidRDefault="008E0986" w:rsidP="000D5875">
      <w:pPr>
        <w:spacing w:afterLines="50" w:after="120"/>
        <w:jc w:val="both"/>
        <w:rPr>
          <w:rFonts w:ascii="Cagliostro" w:eastAsia="微軟正黑體" w:hAnsi="Cagliostro" w:cstheme="minorHAnsi"/>
        </w:rPr>
      </w:pPr>
      <w:r w:rsidRPr="002C62E1">
        <w:rPr>
          <w:rFonts w:cstheme="minorHAnsi"/>
        </w:rPr>
        <w:t>If the park enterprises can provide sufficient evidence or documentation, such as: sales return and allowances, collect and payment for others, sales of fixed assets or waste material, sample giveaway, interest income and financial lease, or those items in compliance with the relevant tax regulations and approved by the National Science and Technology Council, no management fees shall be paid</w:t>
      </w:r>
      <w:r w:rsidR="000D5875" w:rsidRPr="002C62E1">
        <w:rPr>
          <w:rFonts w:ascii="Cagliostro" w:eastAsia="微軟正黑體" w:hAnsi="Cagliostro" w:cstheme="minorHAnsi"/>
        </w:rPr>
        <w:t>.</w:t>
      </w:r>
    </w:p>
    <w:p w14:paraId="7E7B65F8" w14:textId="40A73742"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11</w:t>
      </w:r>
    </w:p>
    <w:p w14:paraId="5F03C617" w14:textId="5512E946" w:rsidR="000D5875" w:rsidRPr="002C62E1" w:rsidRDefault="00774762" w:rsidP="000D5875">
      <w:pPr>
        <w:spacing w:afterLines="50" w:after="120"/>
        <w:jc w:val="both"/>
        <w:rPr>
          <w:rFonts w:ascii="Cagliostro" w:eastAsia="微軟正黑體" w:hAnsi="Cagliostro" w:cstheme="minorHAnsi"/>
        </w:rPr>
      </w:pPr>
      <w:r w:rsidRPr="002C62E1">
        <w:rPr>
          <w:rFonts w:eastAsia="微軟正黑體" w:cstheme="minorHAnsi"/>
        </w:rPr>
        <w:t>Except for the park enterprises and financial institutions located within the Science Park, other institutions, after signing an agreement with the Bureau or self-construction factory tenants on rented land, shall on the twentieth (20th) day of each month, on the first month of every quarter or on or before the twentieth (20th) day of January of every year take the payment notice issued by the Bureau and pay the management fees of that month, quarter or current year to the designated banks</w:t>
      </w:r>
      <w:r w:rsidR="000D5875" w:rsidRPr="002C62E1">
        <w:rPr>
          <w:rFonts w:ascii="Cagliostro" w:eastAsia="微軟正黑體" w:hAnsi="Cagliostro" w:cstheme="minorHAnsi"/>
        </w:rPr>
        <w:t>.</w:t>
      </w:r>
    </w:p>
    <w:p w14:paraId="2ED348E2" w14:textId="58DB576B" w:rsidR="000D5875" w:rsidRPr="002C62E1" w:rsidRDefault="00774762" w:rsidP="000D5875">
      <w:pPr>
        <w:spacing w:afterLines="50" w:after="120"/>
        <w:jc w:val="both"/>
        <w:rPr>
          <w:rFonts w:ascii="Cagliostro" w:eastAsia="微軟正黑體" w:hAnsi="Cagliostro" w:cstheme="minorHAnsi"/>
        </w:rPr>
      </w:pPr>
      <w:r w:rsidRPr="002C62E1">
        <w:rPr>
          <w:rFonts w:eastAsia="微軟正黑體" w:cstheme="minorHAnsi"/>
        </w:rPr>
        <w:t xml:space="preserve">Other institutions, if are allowed to self-construction on rented land, not only shall sign an </w:t>
      </w:r>
      <w:r w:rsidRPr="002C62E1">
        <w:rPr>
          <w:rFonts w:eastAsia="微軟正黑體" w:cstheme="minorHAnsi"/>
        </w:rPr>
        <w:lastRenderedPageBreak/>
        <w:t>agreement with the Bureau but shall also pay the management fees in accordance with the provision of the preceding paragraph following the date of obtaining the usage license</w:t>
      </w:r>
      <w:r w:rsidR="000D5875" w:rsidRPr="002C62E1">
        <w:rPr>
          <w:rFonts w:ascii="Cagliostro" w:eastAsia="微軟正黑體" w:hAnsi="Cagliostro" w:cstheme="minorHAnsi"/>
        </w:rPr>
        <w:t>.</w:t>
      </w:r>
    </w:p>
    <w:p w14:paraId="7A9FC87C" w14:textId="14A3C19B"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12</w:t>
      </w:r>
    </w:p>
    <w:p w14:paraId="5EDB3AB3" w14:textId="5F6E248D" w:rsidR="000D5875" w:rsidRPr="002C62E1" w:rsidRDefault="00A54CA8" w:rsidP="000D5875">
      <w:pPr>
        <w:spacing w:afterLines="50" w:after="120"/>
        <w:jc w:val="both"/>
        <w:rPr>
          <w:rFonts w:ascii="Cagliostro" w:eastAsia="微軟正黑體" w:hAnsi="Cagliostro" w:cstheme="minorHAnsi"/>
        </w:rPr>
      </w:pPr>
      <w:r w:rsidRPr="002C62E1">
        <w:rPr>
          <w:rFonts w:eastAsia="微軟正黑體" w:cstheme="minorHAnsi"/>
        </w:rPr>
        <w:t>In the event that park enterprises, financial institutions and other institutions fail to pay management fees within the deadline for the payment, the provision of Article 33 of the Act shall apply</w:t>
      </w:r>
      <w:r w:rsidR="000D5875" w:rsidRPr="002C62E1">
        <w:rPr>
          <w:rFonts w:ascii="Cagliostro" w:eastAsia="微軟正黑體" w:hAnsi="Cagliostro" w:cstheme="minorHAnsi"/>
        </w:rPr>
        <w:t>.</w:t>
      </w:r>
    </w:p>
    <w:p w14:paraId="1B67D665" w14:textId="67BD1870"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13</w:t>
      </w:r>
    </w:p>
    <w:p w14:paraId="7998B3B5" w14:textId="1BA36CDF" w:rsidR="000D5875" w:rsidRPr="002C62E1" w:rsidRDefault="0057548B" w:rsidP="000D5875">
      <w:pPr>
        <w:spacing w:afterLines="50" w:after="120"/>
        <w:jc w:val="both"/>
        <w:rPr>
          <w:rFonts w:ascii="Cagliostro" w:eastAsia="微軟正黑體" w:hAnsi="Cagliostro" w:cstheme="minorHAnsi"/>
        </w:rPr>
      </w:pPr>
      <w:r w:rsidRPr="002C62E1">
        <w:rPr>
          <w:rFonts w:eastAsia="微軟正黑體" w:cstheme="minorHAnsi"/>
        </w:rPr>
        <w:t>The Bureau may investigate the status of filing and payment of management fees by the Park enterprises and the financial institutions and can request the competent tax authority where they are located to provide the information of sales amount including the "Business Operator's Sales Amount and Tax Return" filed by the headquarter and/or branches of park enterprises and the financial institutions. If inconsistency is found, the reasons shall be investigated and actions shall be taken according to the result of investigation</w:t>
      </w:r>
      <w:r w:rsidR="000D5875" w:rsidRPr="002C62E1">
        <w:rPr>
          <w:rFonts w:ascii="Cagliostro" w:eastAsia="微軟正黑體" w:hAnsi="Cagliostro" w:cstheme="minorHAnsi"/>
        </w:rPr>
        <w:t>.</w:t>
      </w:r>
    </w:p>
    <w:p w14:paraId="723330D8" w14:textId="522C12B0"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14</w:t>
      </w:r>
    </w:p>
    <w:p w14:paraId="30E5C5AE" w14:textId="31848A87" w:rsidR="000D5875" w:rsidRPr="002C62E1" w:rsidRDefault="0098781B" w:rsidP="000D5875">
      <w:pPr>
        <w:spacing w:afterLines="50" w:after="120"/>
        <w:jc w:val="both"/>
        <w:rPr>
          <w:rFonts w:ascii="Cagliostro" w:eastAsia="微軟正黑體" w:hAnsi="Cagliostro" w:cstheme="minorHAnsi"/>
        </w:rPr>
      </w:pPr>
      <w:r w:rsidRPr="002C62E1">
        <w:rPr>
          <w:rFonts w:eastAsia="微軟正黑體" w:cstheme="minorHAnsi"/>
        </w:rPr>
        <w:t>The park enterprises, who have been revoked or whose investment projects have been annulled by the Bureau, or the financial institutions, whose revocations or annulments of company registrations have been approved by the competent authorities, or other institutions, who have properly finished the procedures of rescinding the agreements, shall not be liable to pay the management fees of that payment term; provided, however, if the park enterprises and the institutions have any of the following circumstances, the management fees of that payment term shall be paid by the surviving or the newly established park enterprises and institutions</w:t>
      </w:r>
      <w:r w:rsidR="000D5875" w:rsidRPr="002C62E1">
        <w:rPr>
          <w:rFonts w:ascii="Cagliostro" w:eastAsia="微軟正黑體" w:hAnsi="Cagliostro" w:cstheme="minorHAnsi"/>
        </w:rPr>
        <w:t xml:space="preserve">:   </w:t>
      </w:r>
    </w:p>
    <w:p w14:paraId="79DD7DBF" w14:textId="1385422A" w:rsidR="000D5875" w:rsidRPr="002C62E1" w:rsidRDefault="000D5875" w:rsidP="000D5875">
      <w:pPr>
        <w:spacing w:afterLines="50" w:after="120"/>
        <w:ind w:left="425" w:hangingChars="177" w:hanging="425"/>
        <w:jc w:val="both"/>
        <w:rPr>
          <w:rFonts w:ascii="Cagliostro" w:eastAsia="微軟正黑體" w:hAnsi="Cagliostro" w:cstheme="minorHAnsi"/>
        </w:rPr>
      </w:pPr>
      <w:r w:rsidRPr="002C62E1">
        <w:rPr>
          <w:rFonts w:ascii="Cagliostro" w:eastAsia="微軟正黑體" w:hAnsi="Cagliostro" w:cstheme="minorHAnsi"/>
        </w:rPr>
        <w:t xml:space="preserve">1. </w:t>
      </w:r>
      <w:r w:rsidRPr="002C62E1">
        <w:rPr>
          <w:rFonts w:ascii="Cagliostro" w:eastAsia="微軟正黑體" w:hAnsi="Cagliostro" w:cstheme="minorHAnsi"/>
        </w:rPr>
        <w:tab/>
      </w:r>
      <w:r w:rsidR="005C2E71" w:rsidRPr="002C62E1">
        <w:rPr>
          <w:rFonts w:eastAsia="微軟正黑體" w:cstheme="minorHAnsi"/>
        </w:rPr>
        <w:t>The merger, acquisition or demerger of the Park enterprises and the institutions</w:t>
      </w:r>
      <w:r w:rsidRPr="002C62E1">
        <w:rPr>
          <w:rFonts w:ascii="Cagliostro" w:eastAsia="微軟正黑體" w:hAnsi="Cagliostro" w:cstheme="minorHAnsi"/>
        </w:rPr>
        <w:t xml:space="preserve">. </w:t>
      </w:r>
    </w:p>
    <w:p w14:paraId="412E0AE9" w14:textId="3FFBAAED" w:rsidR="000D5875" w:rsidRPr="002C62E1" w:rsidRDefault="000D5875" w:rsidP="000D5875">
      <w:pPr>
        <w:spacing w:afterLines="50" w:after="120"/>
        <w:ind w:left="425" w:hangingChars="177" w:hanging="425"/>
        <w:jc w:val="both"/>
        <w:rPr>
          <w:rFonts w:ascii="Cagliostro" w:eastAsia="微軟正黑體" w:hAnsi="Cagliostro" w:cstheme="minorHAnsi"/>
        </w:rPr>
      </w:pPr>
      <w:r w:rsidRPr="002C62E1">
        <w:rPr>
          <w:rFonts w:ascii="Cagliostro" w:eastAsia="微軟正黑體" w:hAnsi="Cagliostro" w:cstheme="minorHAnsi"/>
        </w:rPr>
        <w:t xml:space="preserve">2. </w:t>
      </w:r>
      <w:r w:rsidRPr="002C62E1">
        <w:rPr>
          <w:rFonts w:ascii="Cagliostro" w:eastAsia="微軟正黑體" w:hAnsi="Cagliostro" w:cstheme="minorHAnsi"/>
        </w:rPr>
        <w:tab/>
      </w:r>
      <w:r w:rsidR="00E74152" w:rsidRPr="002C62E1">
        <w:rPr>
          <w:rFonts w:eastAsia="微軟正黑體" w:cstheme="minorHAnsi"/>
        </w:rPr>
        <w:t>The change of a head office in the Park as a branch office established, or the change of a branch office in the Park as a head office established</w:t>
      </w:r>
      <w:r w:rsidRPr="002C62E1">
        <w:rPr>
          <w:rFonts w:ascii="Cagliostro" w:eastAsia="微軟正黑體" w:hAnsi="Cagliostro" w:cstheme="minorHAnsi"/>
        </w:rPr>
        <w:t xml:space="preserve">. </w:t>
      </w:r>
    </w:p>
    <w:p w14:paraId="1E6576AC" w14:textId="46C19B18"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15</w:t>
      </w:r>
    </w:p>
    <w:p w14:paraId="358658C9" w14:textId="61110C2B" w:rsidR="000D5875" w:rsidRPr="002C62E1" w:rsidRDefault="00C13DA1" w:rsidP="000D5875">
      <w:pPr>
        <w:spacing w:afterLines="50" w:after="120"/>
        <w:jc w:val="both"/>
        <w:rPr>
          <w:rFonts w:ascii="Cagliostro" w:eastAsia="微軟正黑體" w:hAnsi="Cagliostro" w:cstheme="minorHAnsi"/>
        </w:rPr>
      </w:pPr>
      <w:r w:rsidRPr="002C62E1">
        <w:rPr>
          <w:rFonts w:cstheme="minorHAnsi"/>
        </w:rPr>
        <w:t>To estimate the value of output, operation, sales and other similar numerical quantity of each industry in the Park, the Bureau can request the park enterprises to provide information regarding the projection of sales revenue as a reference to forecast the future management fees to be charged</w:t>
      </w:r>
      <w:r w:rsidR="000D5875" w:rsidRPr="002C62E1">
        <w:rPr>
          <w:rFonts w:ascii="Cagliostro" w:eastAsia="微軟正黑體" w:hAnsi="Cagliostro" w:cstheme="minorHAnsi"/>
        </w:rPr>
        <w:t>.</w:t>
      </w:r>
    </w:p>
    <w:p w14:paraId="7E08E89D" w14:textId="04091629"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16</w:t>
      </w:r>
    </w:p>
    <w:p w14:paraId="36D0C7D2" w14:textId="206FCE1B" w:rsidR="000D5875" w:rsidRPr="002C62E1" w:rsidRDefault="00C13DA1" w:rsidP="000D5875">
      <w:pPr>
        <w:spacing w:afterLines="50" w:after="120"/>
        <w:jc w:val="both"/>
        <w:rPr>
          <w:rFonts w:ascii="Cagliostro" w:eastAsia="微軟正黑體" w:hAnsi="Cagliostro" w:cstheme="minorHAnsi"/>
        </w:rPr>
      </w:pPr>
      <w:r w:rsidRPr="002C62E1">
        <w:rPr>
          <w:rFonts w:cstheme="minorHAnsi"/>
        </w:rPr>
        <w:t>In response to natural disaster, epidemic, and significant change in domestic and foreign finance, economy and society, in avoidance of the difficulties occurred to or the significant impacts on the operations of relevant enterprises and institutions in the Park, and in order to assist in the sustainable development of high-tech industries in the Park and to promote the technical competitiveness of our country, the Bureau may, upon approval of the National Science and Technology Council, announce and implement the bailout measures, granting the favorite scheme for the management fee within a certain period</w:t>
      </w:r>
      <w:r w:rsidR="000D5875" w:rsidRPr="002C62E1">
        <w:rPr>
          <w:rFonts w:ascii="Cagliostro" w:eastAsia="微軟正黑體" w:hAnsi="Cagliostro" w:cstheme="minorHAnsi"/>
        </w:rPr>
        <w:t>.</w:t>
      </w:r>
    </w:p>
    <w:p w14:paraId="028E95A4" w14:textId="05306589" w:rsidR="000D5875" w:rsidRPr="002C62E1" w:rsidRDefault="000D5875" w:rsidP="000D5875">
      <w:pPr>
        <w:spacing w:afterLines="50" w:after="120"/>
        <w:jc w:val="both"/>
        <w:rPr>
          <w:rFonts w:ascii="Cagliostro" w:eastAsia="微軟正黑體" w:hAnsi="Cagliostro" w:cstheme="minorHAnsi"/>
        </w:rPr>
      </w:pPr>
      <w:r w:rsidRPr="002C62E1">
        <w:rPr>
          <w:rFonts w:ascii="Cagliostro" w:eastAsia="微軟正黑體" w:hAnsi="Cagliostro" w:cstheme="minorHAnsi"/>
        </w:rPr>
        <w:t>Article 17</w:t>
      </w:r>
    </w:p>
    <w:p w14:paraId="330F5998" w14:textId="7A8F6A03" w:rsidR="000D5875" w:rsidRPr="002C62E1" w:rsidRDefault="005B4148" w:rsidP="000D5875">
      <w:pPr>
        <w:spacing w:afterLines="50" w:after="120"/>
        <w:jc w:val="both"/>
        <w:rPr>
          <w:rFonts w:ascii="Cagliostro" w:eastAsia="微軟正黑體" w:hAnsi="Cagliostro" w:cstheme="minorHAnsi"/>
        </w:rPr>
      </w:pPr>
      <w:r w:rsidRPr="002C62E1">
        <w:rPr>
          <w:rFonts w:eastAsia="微軟正黑體" w:cstheme="minorHAnsi"/>
        </w:rPr>
        <w:t>These Regulations shall become enforceable from the date of promulgation</w:t>
      </w:r>
      <w:r w:rsidR="000D5875" w:rsidRPr="002C62E1">
        <w:rPr>
          <w:rFonts w:ascii="Cagliostro" w:eastAsia="微軟正黑體" w:hAnsi="Cagliostro" w:cstheme="minorHAnsi"/>
        </w:rPr>
        <w:t xml:space="preserve">. </w:t>
      </w:r>
    </w:p>
    <w:p w14:paraId="1E37769E" w14:textId="77777777" w:rsidR="00B96610" w:rsidRPr="002C62E1" w:rsidRDefault="00B96610" w:rsidP="000D5875">
      <w:pPr>
        <w:spacing w:afterLines="50" w:after="120"/>
        <w:rPr>
          <w:rFonts w:ascii="Cagliostro" w:eastAsia="微軟正黑體" w:hAnsi="Cagliostro" w:cstheme="minorHAnsi"/>
        </w:rPr>
      </w:pPr>
    </w:p>
    <w:p w14:paraId="315FAA1B" w14:textId="1DCD7D80" w:rsidR="00B021D4" w:rsidRPr="002C62E1" w:rsidRDefault="00B52CCB" w:rsidP="00DA7513">
      <w:pPr>
        <w:widowControl/>
        <w:spacing w:afterLines="50" w:after="120"/>
        <w:rPr>
          <w:rFonts w:ascii="Cagliostro" w:eastAsia="微軟正黑體" w:hAnsi="Cagliostro" w:cstheme="minorHAnsi"/>
        </w:rPr>
      </w:pPr>
      <w:r w:rsidRPr="002C62E1">
        <w:rPr>
          <w:rFonts w:ascii="Cagliostro" w:eastAsia="微軟正黑體" w:hAnsi="Cagliostro" w:cstheme="minorHAnsi"/>
        </w:rPr>
        <w:br w:type="page"/>
      </w:r>
      <w:r w:rsidR="00B021D4" w:rsidRPr="002C62E1">
        <w:rPr>
          <w:rFonts w:ascii="Cagliostro" w:eastAsia="微軟正黑體" w:hAnsi="Cagliostro" w:cstheme="minorHAnsi"/>
        </w:rPr>
        <w:lastRenderedPageBreak/>
        <w:t>Attachment I:</w:t>
      </w:r>
    </w:p>
    <w:p w14:paraId="289E2E40" w14:textId="2FDFB039" w:rsidR="00B021D4" w:rsidRPr="002C62E1" w:rsidRDefault="00B021D4" w:rsidP="000D5875">
      <w:pPr>
        <w:spacing w:afterLines="50" w:after="120"/>
        <w:rPr>
          <w:rFonts w:ascii="Cagliostro" w:eastAsia="微軟正黑體" w:hAnsi="Cagliostro" w:cstheme="minorHAnsi"/>
        </w:rPr>
      </w:pPr>
      <w:r w:rsidRPr="002C62E1">
        <w:rPr>
          <w:rFonts w:ascii="Cagliostro" w:eastAsia="微軟正黑體" w:hAnsi="Cagliostro" w:cstheme="minorHAnsi"/>
        </w:rPr>
        <w:t>Table of Floating Rates of the Management Fees for the Park Enterprises</w:t>
      </w:r>
      <w:r w:rsidR="004941F0" w:rsidRPr="002C62E1">
        <w:rPr>
          <w:rFonts w:ascii="Cagliostro" w:eastAsia="微軟正黑體" w:hAnsi="Cagliostro" w:cstheme="minorHAnsi"/>
        </w:rPr>
        <w:t xml:space="preserve"> not </w:t>
      </w:r>
      <w:r w:rsidR="00DF0508" w:rsidRPr="002C62E1">
        <w:rPr>
          <w:rFonts w:ascii="Cagliostro" w:eastAsia="微軟正黑體" w:hAnsi="Cagliostro" w:cstheme="minorHAnsi"/>
        </w:rPr>
        <w:t>L</w:t>
      </w:r>
      <w:r w:rsidR="004941F0" w:rsidRPr="002C62E1">
        <w:rPr>
          <w:rFonts w:ascii="Cagliostro" w:eastAsia="微軟正黑體" w:hAnsi="Cagliostro" w:cstheme="minorHAnsi"/>
        </w:rPr>
        <w:t xml:space="preserve">ocated in </w:t>
      </w:r>
      <w:r w:rsidR="00DF0508" w:rsidRPr="002C62E1">
        <w:rPr>
          <w:rFonts w:ascii="Cagliostro" w:eastAsia="微軟正黑體" w:hAnsi="Cagliostro" w:cstheme="minorHAnsi"/>
        </w:rPr>
        <w:t>U</w:t>
      </w:r>
      <w:r w:rsidR="004941F0" w:rsidRPr="002C62E1">
        <w:rPr>
          <w:rFonts w:ascii="Cagliostro" w:eastAsia="微軟正黑體" w:hAnsi="Cagliostro" w:cstheme="minorHAnsi"/>
        </w:rPr>
        <w:t xml:space="preserve">rban </w:t>
      </w:r>
      <w:r w:rsidR="00DF0508" w:rsidRPr="002C62E1">
        <w:rPr>
          <w:rFonts w:ascii="Cagliostro" w:eastAsia="微軟正黑體" w:hAnsi="Cagliostro" w:cstheme="minorHAnsi"/>
        </w:rPr>
        <w:t>P</w:t>
      </w:r>
      <w:r w:rsidR="004941F0" w:rsidRPr="002C62E1">
        <w:rPr>
          <w:rFonts w:ascii="Cagliostro" w:eastAsia="微軟正黑體" w:hAnsi="Cagliostro" w:cstheme="minorHAnsi"/>
        </w:rPr>
        <w:t>arks</w:t>
      </w: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7"/>
        <w:gridCol w:w="5069"/>
        <w:gridCol w:w="1559"/>
        <w:gridCol w:w="2268"/>
      </w:tblGrid>
      <w:tr w:rsidR="002C62E1" w:rsidRPr="002C62E1" w14:paraId="093D451C" w14:textId="77777777" w:rsidTr="008C2CB0">
        <w:tc>
          <w:tcPr>
            <w:tcW w:w="1027" w:type="dxa"/>
            <w:vAlign w:val="center"/>
          </w:tcPr>
          <w:p w14:paraId="7891FFC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Interval</w:t>
            </w:r>
          </w:p>
        </w:tc>
        <w:tc>
          <w:tcPr>
            <w:tcW w:w="5069" w:type="dxa"/>
            <w:vAlign w:val="center"/>
          </w:tcPr>
          <w:p w14:paraId="140F3145" w14:textId="77777777" w:rsidR="00B74160" w:rsidRPr="002C62E1" w:rsidRDefault="00B74160" w:rsidP="008C2CB0">
            <w:pPr>
              <w:pStyle w:val="2"/>
              <w:snapToGrid w:val="0"/>
              <w:spacing w:afterLines="50" w:after="12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Area of Land (M²)</w:t>
            </w:r>
          </w:p>
        </w:tc>
        <w:tc>
          <w:tcPr>
            <w:tcW w:w="1559" w:type="dxa"/>
            <w:vAlign w:val="center"/>
          </w:tcPr>
          <w:p w14:paraId="25E1D6CB" w14:textId="77777777" w:rsidR="00B74160" w:rsidRPr="002C62E1" w:rsidRDefault="00B74160" w:rsidP="008C2CB0">
            <w:pPr>
              <w:pStyle w:val="2"/>
              <w:snapToGrid w:val="0"/>
              <w:spacing w:afterLines="50" w:after="12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Fee Rate (New Taiwan Dollars/ m²)</w:t>
            </w:r>
          </w:p>
        </w:tc>
        <w:tc>
          <w:tcPr>
            <w:tcW w:w="2268" w:type="dxa"/>
            <w:vAlign w:val="center"/>
          </w:tcPr>
          <w:p w14:paraId="63FA0276" w14:textId="77777777" w:rsidR="00B74160" w:rsidRPr="002C62E1" w:rsidRDefault="00B74160" w:rsidP="008C2CB0">
            <w:pPr>
              <w:pStyle w:val="2"/>
              <w:snapToGrid w:val="0"/>
              <w:spacing w:afterLines="50" w:after="12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Progressive Difference (New Taiwan Dollars)</w:t>
            </w:r>
          </w:p>
        </w:tc>
      </w:tr>
      <w:tr w:rsidR="002C62E1" w:rsidRPr="002C62E1" w14:paraId="40DDFF94" w14:textId="77777777" w:rsidTr="008C2CB0">
        <w:tc>
          <w:tcPr>
            <w:tcW w:w="1027" w:type="dxa"/>
            <w:vAlign w:val="center"/>
          </w:tcPr>
          <w:p w14:paraId="0E90E74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w:t>
            </w:r>
          </w:p>
        </w:tc>
        <w:tc>
          <w:tcPr>
            <w:tcW w:w="5069" w:type="dxa"/>
            <w:vAlign w:val="center"/>
          </w:tcPr>
          <w:p w14:paraId="6805CA7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4,000 or less</w:t>
            </w:r>
          </w:p>
        </w:tc>
        <w:tc>
          <w:tcPr>
            <w:tcW w:w="1559" w:type="dxa"/>
            <w:vAlign w:val="center"/>
          </w:tcPr>
          <w:p w14:paraId="4135F7A0" w14:textId="77777777" w:rsidR="00B74160" w:rsidRPr="002C62E1" w:rsidRDefault="00B74160" w:rsidP="008C2CB0">
            <w:pPr>
              <w:spacing w:afterLines="50" w:after="120"/>
              <w:jc w:val="center"/>
              <w:rPr>
                <w:rFonts w:ascii="Cagliostro" w:eastAsia="微軟正黑體" w:hAnsi="Cagliostro" w:cstheme="minorHAnsi"/>
              </w:rPr>
            </w:pPr>
          </w:p>
        </w:tc>
        <w:tc>
          <w:tcPr>
            <w:tcW w:w="2268" w:type="dxa"/>
            <w:vAlign w:val="center"/>
          </w:tcPr>
          <w:p w14:paraId="4E698346"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10,000</w:t>
            </w:r>
          </w:p>
        </w:tc>
      </w:tr>
      <w:tr w:rsidR="002C62E1" w:rsidRPr="002C62E1" w14:paraId="31F89646" w14:textId="77777777" w:rsidTr="008C2CB0">
        <w:tc>
          <w:tcPr>
            <w:tcW w:w="1027" w:type="dxa"/>
            <w:vAlign w:val="center"/>
          </w:tcPr>
          <w:p w14:paraId="1FA2A0D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w:t>
            </w:r>
          </w:p>
        </w:tc>
        <w:tc>
          <w:tcPr>
            <w:tcW w:w="5069" w:type="dxa"/>
            <w:vAlign w:val="center"/>
          </w:tcPr>
          <w:p w14:paraId="3D021EC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4,000 but less than 5,000</w:t>
            </w:r>
          </w:p>
        </w:tc>
        <w:tc>
          <w:tcPr>
            <w:tcW w:w="1559" w:type="dxa"/>
            <w:vAlign w:val="center"/>
          </w:tcPr>
          <w:p w14:paraId="156429C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2.5</w:t>
            </w:r>
          </w:p>
        </w:tc>
        <w:tc>
          <w:tcPr>
            <w:tcW w:w="2268" w:type="dxa"/>
            <w:vAlign w:val="center"/>
          </w:tcPr>
          <w:p w14:paraId="3EA3EE45"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12,500</w:t>
            </w:r>
          </w:p>
        </w:tc>
      </w:tr>
      <w:tr w:rsidR="002C62E1" w:rsidRPr="002C62E1" w14:paraId="4C22D48E" w14:textId="77777777" w:rsidTr="008C2CB0">
        <w:tc>
          <w:tcPr>
            <w:tcW w:w="1027" w:type="dxa"/>
            <w:vAlign w:val="center"/>
          </w:tcPr>
          <w:p w14:paraId="28A9C0A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w:t>
            </w:r>
          </w:p>
        </w:tc>
        <w:tc>
          <w:tcPr>
            <w:tcW w:w="5069" w:type="dxa"/>
          </w:tcPr>
          <w:p w14:paraId="13510D4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5,000 but less than 6,000</w:t>
            </w:r>
          </w:p>
        </w:tc>
        <w:tc>
          <w:tcPr>
            <w:tcW w:w="1559" w:type="dxa"/>
            <w:vAlign w:val="center"/>
          </w:tcPr>
          <w:p w14:paraId="2778311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2.41</w:t>
            </w:r>
          </w:p>
        </w:tc>
        <w:tc>
          <w:tcPr>
            <w:tcW w:w="2268" w:type="dxa"/>
            <w:vAlign w:val="center"/>
          </w:tcPr>
          <w:p w14:paraId="49012630"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14,910</w:t>
            </w:r>
          </w:p>
        </w:tc>
      </w:tr>
      <w:tr w:rsidR="002C62E1" w:rsidRPr="002C62E1" w14:paraId="31D39C69" w14:textId="77777777" w:rsidTr="008C2CB0">
        <w:tc>
          <w:tcPr>
            <w:tcW w:w="1027" w:type="dxa"/>
            <w:vAlign w:val="center"/>
          </w:tcPr>
          <w:p w14:paraId="6F41329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4</w:t>
            </w:r>
          </w:p>
        </w:tc>
        <w:tc>
          <w:tcPr>
            <w:tcW w:w="5069" w:type="dxa"/>
          </w:tcPr>
          <w:p w14:paraId="333F818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6,000 but less than 7,000</w:t>
            </w:r>
          </w:p>
        </w:tc>
        <w:tc>
          <w:tcPr>
            <w:tcW w:w="1559" w:type="dxa"/>
            <w:vAlign w:val="center"/>
          </w:tcPr>
          <w:p w14:paraId="2658355D"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2.32</w:t>
            </w:r>
          </w:p>
        </w:tc>
        <w:tc>
          <w:tcPr>
            <w:tcW w:w="2268" w:type="dxa"/>
            <w:vAlign w:val="center"/>
          </w:tcPr>
          <w:p w14:paraId="2104022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17,230</w:t>
            </w:r>
          </w:p>
        </w:tc>
      </w:tr>
      <w:tr w:rsidR="002C62E1" w:rsidRPr="002C62E1" w14:paraId="5ED7003B" w14:textId="77777777" w:rsidTr="008C2CB0">
        <w:tc>
          <w:tcPr>
            <w:tcW w:w="1027" w:type="dxa"/>
            <w:vAlign w:val="center"/>
          </w:tcPr>
          <w:p w14:paraId="1E2446D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5</w:t>
            </w:r>
          </w:p>
        </w:tc>
        <w:tc>
          <w:tcPr>
            <w:tcW w:w="5069" w:type="dxa"/>
          </w:tcPr>
          <w:p w14:paraId="70BF09C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7,000 but less than 8,000</w:t>
            </w:r>
          </w:p>
        </w:tc>
        <w:tc>
          <w:tcPr>
            <w:tcW w:w="1559" w:type="dxa"/>
            <w:vAlign w:val="center"/>
          </w:tcPr>
          <w:p w14:paraId="6BE84AA0"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2.23</w:t>
            </w:r>
          </w:p>
        </w:tc>
        <w:tc>
          <w:tcPr>
            <w:tcW w:w="2268" w:type="dxa"/>
            <w:vAlign w:val="center"/>
          </w:tcPr>
          <w:p w14:paraId="4983C2D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19,460</w:t>
            </w:r>
          </w:p>
        </w:tc>
      </w:tr>
      <w:tr w:rsidR="002C62E1" w:rsidRPr="002C62E1" w14:paraId="237944BC" w14:textId="77777777" w:rsidTr="008C2CB0">
        <w:tc>
          <w:tcPr>
            <w:tcW w:w="1027" w:type="dxa"/>
            <w:vAlign w:val="center"/>
          </w:tcPr>
          <w:p w14:paraId="7930CBD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6</w:t>
            </w:r>
          </w:p>
        </w:tc>
        <w:tc>
          <w:tcPr>
            <w:tcW w:w="5069" w:type="dxa"/>
          </w:tcPr>
          <w:p w14:paraId="600A0E30"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8,000 but less than 9,000</w:t>
            </w:r>
          </w:p>
        </w:tc>
        <w:tc>
          <w:tcPr>
            <w:tcW w:w="1559" w:type="dxa"/>
            <w:vAlign w:val="center"/>
          </w:tcPr>
          <w:p w14:paraId="7CCF421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2.14</w:t>
            </w:r>
          </w:p>
        </w:tc>
        <w:tc>
          <w:tcPr>
            <w:tcW w:w="2268" w:type="dxa"/>
            <w:vAlign w:val="center"/>
          </w:tcPr>
          <w:p w14:paraId="362779D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21,600</w:t>
            </w:r>
          </w:p>
        </w:tc>
      </w:tr>
      <w:tr w:rsidR="002C62E1" w:rsidRPr="002C62E1" w14:paraId="5FCB1770" w14:textId="77777777" w:rsidTr="008C2CB0">
        <w:tc>
          <w:tcPr>
            <w:tcW w:w="1027" w:type="dxa"/>
            <w:vAlign w:val="center"/>
          </w:tcPr>
          <w:p w14:paraId="7E4E92C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7</w:t>
            </w:r>
          </w:p>
        </w:tc>
        <w:tc>
          <w:tcPr>
            <w:tcW w:w="5069" w:type="dxa"/>
          </w:tcPr>
          <w:p w14:paraId="2762864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9,000 but less than 10,000</w:t>
            </w:r>
          </w:p>
        </w:tc>
        <w:tc>
          <w:tcPr>
            <w:tcW w:w="1559" w:type="dxa"/>
            <w:vAlign w:val="center"/>
          </w:tcPr>
          <w:p w14:paraId="09C660D6"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2.05</w:t>
            </w:r>
          </w:p>
        </w:tc>
        <w:tc>
          <w:tcPr>
            <w:tcW w:w="2268" w:type="dxa"/>
            <w:vAlign w:val="center"/>
          </w:tcPr>
          <w:p w14:paraId="1A7D9BB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23,650</w:t>
            </w:r>
          </w:p>
        </w:tc>
      </w:tr>
      <w:tr w:rsidR="002C62E1" w:rsidRPr="002C62E1" w14:paraId="3F225719" w14:textId="77777777" w:rsidTr="008C2CB0">
        <w:tc>
          <w:tcPr>
            <w:tcW w:w="1027" w:type="dxa"/>
            <w:vAlign w:val="center"/>
          </w:tcPr>
          <w:p w14:paraId="0D4F15B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8</w:t>
            </w:r>
          </w:p>
        </w:tc>
        <w:tc>
          <w:tcPr>
            <w:tcW w:w="5069" w:type="dxa"/>
          </w:tcPr>
          <w:p w14:paraId="2E016BF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10,000 but less than 15,000</w:t>
            </w:r>
          </w:p>
        </w:tc>
        <w:tc>
          <w:tcPr>
            <w:tcW w:w="1559" w:type="dxa"/>
            <w:vAlign w:val="center"/>
          </w:tcPr>
          <w:p w14:paraId="0796E18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1.96</w:t>
            </w:r>
          </w:p>
        </w:tc>
        <w:tc>
          <w:tcPr>
            <w:tcW w:w="2268" w:type="dxa"/>
            <w:vAlign w:val="center"/>
          </w:tcPr>
          <w:p w14:paraId="4257D8B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33,450</w:t>
            </w:r>
          </w:p>
        </w:tc>
      </w:tr>
      <w:tr w:rsidR="002C62E1" w:rsidRPr="002C62E1" w14:paraId="6B984526" w14:textId="77777777" w:rsidTr="008C2CB0">
        <w:tc>
          <w:tcPr>
            <w:tcW w:w="1027" w:type="dxa"/>
            <w:vAlign w:val="center"/>
          </w:tcPr>
          <w:p w14:paraId="237439C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9</w:t>
            </w:r>
          </w:p>
        </w:tc>
        <w:tc>
          <w:tcPr>
            <w:tcW w:w="5069" w:type="dxa"/>
          </w:tcPr>
          <w:p w14:paraId="3CD8EC5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15,000 but less than 20,000</w:t>
            </w:r>
          </w:p>
        </w:tc>
        <w:tc>
          <w:tcPr>
            <w:tcW w:w="1559" w:type="dxa"/>
            <w:vAlign w:val="center"/>
          </w:tcPr>
          <w:p w14:paraId="68EED0A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1.87</w:t>
            </w:r>
          </w:p>
        </w:tc>
        <w:tc>
          <w:tcPr>
            <w:tcW w:w="2268" w:type="dxa"/>
            <w:vAlign w:val="center"/>
          </w:tcPr>
          <w:p w14:paraId="2CC70F0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42,800</w:t>
            </w:r>
          </w:p>
        </w:tc>
      </w:tr>
      <w:tr w:rsidR="002C62E1" w:rsidRPr="002C62E1" w14:paraId="21CC1BFF" w14:textId="77777777" w:rsidTr="008C2CB0">
        <w:tc>
          <w:tcPr>
            <w:tcW w:w="1027" w:type="dxa"/>
            <w:vAlign w:val="center"/>
          </w:tcPr>
          <w:p w14:paraId="4BA1B93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10</w:t>
            </w:r>
          </w:p>
        </w:tc>
        <w:tc>
          <w:tcPr>
            <w:tcW w:w="5069" w:type="dxa"/>
          </w:tcPr>
          <w:p w14:paraId="164A6658"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20,000 but less than 25,000</w:t>
            </w:r>
          </w:p>
        </w:tc>
        <w:tc>
          <w:tcPr>
            <w:tcW w:w="1559" w:type="dxa"/>
            <w:vAlign w:val="center"/>
          </w:tcPr>
          <w:p w14:paraId="3F44F3C5"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1.78</w:t>
            </w:r>
          </w:p>
        </w:tc>
        <w:tc>
          <w:tcPr>
            <w:tcW w:w="2268" w:type="dxa"/>
            <w:vAlign w:val="center"/>
          </w:tcPr>
          <w:p w14:paraId="5348901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51,700</w:t>
            </w:r>
          </w:p>
        </w:tc>
      </w:tr>
      <w:tr w:rsidR="002C62E1" w:rsidRPr="002C62E1" w14:paraId="63001A5F" w14:textId="77777777" w:rsidTr="008C2CB0">
        <w:tc>
          <w:tcPr>
            <w:tcW w:w="1027" w:type="dxa"/>
            <w:vAlign w:val="center"/>
          </w:tcPr>
          <w:p w14:paraId="2E5AB91D"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11</w:t>
            </w:r>
          </w:p>
        </w:tc>
        <w:tc>
          <w:tcPr>
            <w:tcW w:w="5069" w:type="dxa"/>
          </w:tcPr>
          <w:p w14:paraId="697C5F3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25,000 but less than 30,000</w:t>
            </w:r>
          </w:p>
        </w:tc>
        <w:tc>
          <w:tcPr>
            <w:tcW w:w="1559" w:type="dxa"/>
            <w:vAlign w:val="center"/>
          </w:tcPr>
          <w:p w14:paraId="635D4DA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1.69</w:t>
            </w:r>
          </w:p>
        </w:tc>
        <w:tc>
          <w:tcPr>
            <w:tcW w:w="2268" w:type="dxa"/>
            <w:vAlign w:val="center"/>
          </w:tcPr>
          <w:p w14:paraId="0D78812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60,150</w:t>
            </w:r>
          </w:p>
        </w:tc>
      </w:tr>
      <w:tr w:rsidR="002C62E1" w:rsidRPr="002C62E1" w14:paraId="6D52EFD5" w14:textId="77777777" w:rsidTr="008C2CB0">
        <w:tc>
          <w:tcPr>
            <w:tcW w:w="1027" w:type="dxa"/>
            <w:vAlign w:val="center"/>
          </w:tcPr>
          <w:p w14:paraId="1600A0D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12</w:t>
            </w:r>
          </w:p>
        </w:tc>
        <w:tc>
          <w:tcPr>
            <w:tcW w:w="5069" w:type="dxa"/>
          </w:tcPr>
          <w:p w14:paraId="3127AC1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30,000 but less than 50,000</w:t>
            </w:r>
          </w:p>
        </w:tc>
        <w:tc>
          <w:tcPr>
            <w:tcW w:w="1559" w:type="dxa"/>
            <w:vAlign w:val="center"/>
          </w:tcPr>
          <w:p w14:paraId="5A014FC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1.6</w:t>
            </w:r>
          </w:p>
        </w:tc>
        <w:tc>
          <w:tcPr>
            <w:tcW w:w="2268" w:type="dxa"/>
            <w:vAlign w:val="center"/>
          </w:tcPr>
          <w:p w14:paraId="7F5EA7A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92,150</w:t>
            </w:r>
          </w:p>
        </w:tc>
      </w:tr>
      <w:tr w:rsidR="002C62E1" w:rsidRPr="002C62E1" w14:paraId="45048705" w14:textId="77777777" w:rsidTr="008C2CB0">
        <w:tc>
          <w:tcPr>
            <w:tcW w:w="1027" w:type="dxa"/>
            <w:vAlign w:val="center"/>
          </w:tcPr>
          <w:p w14:paraId="21C7BEE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13</w:t>
            </w:r>
          </w:p>
        </w:tc>
        <w:tc>
          <w:tcPr>
            <w:tcW w:w="5069" w:type="dxa"/>
          </w:tcPr>
          <w:p w14:paraId="06F2AB5D"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50,000 but less than 100,000</w:t>
            </w:r>
          </w:p>
        </w:tc>
        <w:tc>
          <w:tcPr>
            <w:tcW w:w="1559" w:type="dxa"/>
            <w:vAlign w:val="center"/>
          </w:tcPr>
          <w:p w14:paraId="26A4B84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1.51</w:t>
            </w:r>
          </w:p>
        </w:tc>
        <w:tc>
          <w:tcPr>
            <w:tcW w:w="2268" w:type="dxa"/>
            <w:vAlign w:val="center"/>
          </w:tcPr>
          <w:p w14:paraId="183F073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167,650</w:t>
            </w:r>
          </w:p>
        </w:tc>
      </w:tr>
      <w:tr w:rsidR="002C62E1" w:rsidRPr="002C62E1" w14:paraId="3AC1F321" w14:textId="77777777" w:rsidTr="008C2CB0">
        <w:tc>
          <w:tcPr>
            <w:tcW w:w="1027" w:type="dxa"/>
            <w:vAlign w:val="center"/>
          </w:tcPr>
          <w:p w14:paraId="59BCB3F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14</w:t>
            </w:r>
          </w:p>
        </w:tc>
        <w:tc>
          <w:tcPr>
            <w:tcW w:w="5069" w:type="dxa"/>
          </w:tcPr>
          <w:p w14:paraId="374FF85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100,000 but less than 200,000</w:t>
            </w:r>
          </w:p>
        </w:tc>
        <w:tc>
          <w:tcPr>
            <w:tcW w:w="1559" w:type="dxa"/>
            <w:vAlign w:val="center"/>
          </w:tcPr>
          <w:p w14:paraId="11F63E7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1.42</w:t>
            </w:r>
          </w:p>
        </w:tc>
        <w:tc>
          <w:tcPr>
            <w:tcW w:w="2268" w:type="dxa"/>
            <w:vAlign w:val="center"/>
          </w:tcPr>
          <w:p w14:paraId="2EC79C3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309,650</w:t>
            </w:r>
          </w:p>
        </w:tc>
      </w:tr>
      <w:tr w:rsidR="002C62E1" w:rsidRPr="002C62E1" w14:paraId="0D5D6BC5" w14:textId="77777777" w:rsidTr="008C2CB0">
        <w:tc>
          <w:tcPr>
            <w:tcW w:w="1027" w:type="dxa"/>
            <w:vAlign w:val="center"/>
          </w:tcPr>
          <w:p w14:paraId="3D99157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15</w:t>
            </w:r>
          </w:p>
        </w:tc>
        <w:tc>
          <w:tcPr>
            <w:tcW w:w="5069" w:type="dxa"/>
          </w:tcPr>
          <w:p w14:paraId="34D8BC2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200,000 but less than 300,000</w:t>
            </w:r>
          </w:p>
        </w:tc>
        <w:tc>
          <w:tcPr>
            <w:tcW w:w="1559" w:type="dxa"/>
            <w:vAlign w:val="center"/>
          </w:tcPr>
          <w:p w14:paraId="79B7537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1.33</w:t>
            </w:r>
          </w:p>
        </w:tc>
        <w:tc>
          <w:tcPr>
            <w:tcW w:w="2268" w:type="dxa"/>
            <w:vAlign w:val="center"/>
          </w:tcPr>
          <w:p w14:paraId="090B30D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442,650</w:t>
            </w:r>
          </w:p>
        </w:tc>
      </w:tr>
      <w:tr w:rsidR="002C62E1" w:rsidRPr="002C62E1" w14:paraId="76999DBC" w14:textId="77777777" w:rsidTr="008C2CB0">
        <w:tc>
          <w:tcPr>
            <w:tcW w:w="1027" w:type="dxa"/>
            <w:vAlign w:val="center"/>
          </w:tcPr>
          <w:p w14:paraId="53FC18D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16</w:t>
            </w:r>
          </w:p>
        </w:tc>
        <w:tc>
          <w:tcPr>
            <w:tcW w:w="5069" w:type="dxa"/>
          </w:tcPr>
          <w:p w14:paraId="0952CE40"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300,000 but less than 400,000</w:t>
            </w:r>
          </w:p>
        </w:tc>
        <w:tc>
          <w:tcPr>
            <w:tcW w:w="1559" w:type="dxa"/>
            <w:vAlign w:val="center"/>
          </w:tcPr>
          <w:p w14:paraId="48BF194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1.24</w:t>
            </w:r>
          </w:p>
        </w:tc>
        <w:tc>
          <w:tcPr>
            <w:tcW w:w="2268" w:type="dxa"/>
            <w:vAlign w:val="center"/>
          </w:tcPr>
          <w:p w14:paraId="663ABE0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566,650</w:t>
            </w:r>
          </w:p>
        </w:tc>
      </w:tr>
      <w:tr w:rsidR="002C62E1" w:rsidRPr="002C62E1" w14:paraId="5E3A1D5E" w14:textId="77777777" w:rsidTr="008C2CB0">
        <w:tc>
          <w:tcPr>
            <w:tcW w:w="1027" w:type="dxa"/>
            <w:vAlign w:val="center"/>
          </w:tcPr>
          <w:p w14:paraId="7E452B28"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17</w:t>
            </w:r>
          </w:p>
        </w:tc>
        <w:tc>
          <w:tcPr>
            <w:tcW w:w="5069" w:type="dxa"/>
          </w:tcPr>
          <w:p w14:paraId="3E959318"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400,000</w:t>
            </w:r>
          </w:p>
        </w:tc>
        <w:tc>
          <w:tcPr>
            <w:tcW w:w="1559" w:type="dxa"/>
            <w:vAlign w:val="center"/>
          </w:tcPr>
          <w:p w14:paraId="0B38D96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1.15</w:t>
            </w:r>
          </w:p>
        </w:tc>
        <w:tc>
          <w:tcPr>
            <w:tcW w:w="2268" w:type="dxa"/>
            <w:vAlign w:val="center"/>
          </w:tcPr>
          <w:p w14:paraId="1EF954E2" w14:textId="77777777" w:rsidR="00B74160" w:rsidRPr="002C62E1" w:rsidRDefault="00B74160" w:rsidP="008C2CB0">
            <w:pPr>
              <w:spacing w:afterLines="50" w:after="120"/>
              <w:jc w:val="center"/>
              <w:rPr>
                <w:rFonts w:ascii="Cagliostro" w:eastAsia="微軟正黑體" w:hAnsi="Cagliostro" w:cstheme="minorHAnsi"/>
              </w:rPr>
            </w:pPr>
          </w:p>
        </w:tc>
      </w:tr>
      <w:tr w:rsidR="002C62E1" w:rsidRPr="002C62E1" w14:paraId="5767170D" w14:textId="77777777" w:rsidTr="008C2CB0">
        <w:tc>
          <w:tcPr>
            <w:tcW w:w="1027" w:type="dxa"/>
            <w:vAlign w:val="center"/>
          </w:tcPr>
          <w:p w14:paraId="768592F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Interval</w:t>
            </w:r>
          </w:p>
        </w:tc>
        <w:tc>
          <w:tcPr>
            <w:tcW w:w="5069" w:type="dxa"/>
            <w:vAlign w:val="center"/>
          </w:tcPr>
          <w:p w14:paraId="7D64C6B4" w14:textId="77777777" w:rsidR="00B74160" w:rsidRPr="002C62E1" w:rsidRDefault="00B74160" w:rsidP="008C2CB0">
            <w:pPr>
              <w:pStyle w:val="2"/>
              <w:snapToGrid w:val="0"/>
              <w:spacing w:afterLines="50" w:after="12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Area of Factory Building (M²)</w:t>
            </w:r>
          </w:p>
        </w:tc>
        <w:tc>
          <w:tcPr>
            <w:tcW w:w="1559" w:type="dxa"/>
            <w:vAlign w:val="center"/>
          </w:tcPr>
          <w:p w14:paraId="1E27DCA8" w14:textId="77777777" w:rsidR="00B74160" w:rsidRPr="002C62E1" w:rsidRDefault="00B74160" w:rsidP="008C2CB0">
            <w:pPr>
              <w:pStyle w:val="2"/>
              <w:snapToGrid w:val="0"/>
              <w:spacing w:afterLines="50" w:after="12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Fee Rate (New Taiwan Dollars/M²)</w:t>
            </w:r>
          </w:p>
        </w:tc>
        <w:tc>
          <w:tcPr>
            <w:tcW w:w="2268" w:type="dxa"/>
            <w:vAlign w:val="center"/>
          </w:tcPr>
          <w:p w14:paraId="7A48D6D8" w14:textId="77777777" w:rsidR="00B74160" w:rsidRPr="002C62E1" w:rsidRDefault="00B74160" w:rsidP="008C2CB0">
            <w:pPr>
              <w:pStyle w:val="2"/>
              <w:snapToGrid w:val="0"/>
              <w:spacing w:afterLines="50" w:after="12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Progressive Difference (New Taiwan Dollars)</w:t>
            </w:r>
          </w:p>
        </w:tc>
      </w:tr>
      <w:tr w:rsidR="002C62E1" w:rsidRPr="002C62E1" w14:paraId="73D23641" w14:textId="77777777" w:rsidTr="008C2CB0">
        <w:tc>
          <w:tcPr>
            <w:tcW w:w="1027" w:type="dxa"/>
            <w:vAlign w:val="center"/>
          </w:tcPr>
          <w:p w14:paraId="28EC2DD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w:t>
            </w:r>
          </w:p>
        </w:tc>
        <w:tc>
          <w:tcPr>
            <w:tcW w:w="5069" w:type="dxa"/>
          </w:tcPr>
          <w:p w14:paraId="07A80620"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1,200 or less</w:t>
            </w:r>
          </w:p>
        </w:tc>
        <w:tc>
          <w:tcPr>
            <w:tcW w:w="1559" w:type="dxa"/>
            <w:vAlign w:val="center"/>
          </w:tcPr>
          <w:p w14:paraId="53FFABC0" w14:textId="77777777" w:rsidR="00B74160" w:rsidRPr="002C62E1" w:rsidRDefault="00B74160" w:rsidP="008C2CB0">
            <w:pPr>
              <w:spacing w:afterLines="50" w:after="120"/>
              <w:jc w:val="center"/>
              <w:rPr>
                <w:rFonts w:ascii="Cagliostro" w:eastAsia="微軟正黑體" w:hAnsi="Cagliostro" w:cstheme="minorHAnsi"/>
              </w:rPr>
            </w:pPr>
          </w:p>
        </w:tc>
        <w:tc>
          <w:tcPr>
            <w:tcW w:w="2268" w:type="dxa"/>
            <w:vAlign w:val="center"/>
          </w:tcPr>
          <w:p w14:paraId="126CD27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5,000</w:t>
            </w:r>
          </w:p>
        </w:tc>
      </w:tr>
      <w:tr w:rsidR="002C62E1" w:rsidRPr="002C62E1" w14:paraId="1AD2DE55" w14:textId="77777777" w:rsidTr="008C2CB0">
        <w:tc>
          <w:tcPr>
            <w:tcW w:w="1027" w:type="dxa"/>
            <w:vAlign w:val="center"/>
          </w:tcPr>
          <w:p w14:paraId="62784975"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w:t>
            </w:r>
          </w:p>
        </w:tc>
        <w:tc>
          <w:tcPr>
            <w:tcW w:w="5069" w:type="dxa"/>
          </w:tcPr>
          <w:p w14:paraId="3BA6F26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1,200 but less than 2,000</w:t>
            </w:r>
          </w:p>
        </w:tc>
        <w:tc>
          <w:tcPr>
            <w:tcW w:w="1559" w:type="dxa"/>
            <w:vAlign w:val="center"/>
          </w:tcPr>
          <w:p w14:paraId="0EAF598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6.3</w:t>
            </w:r>
          </w:p>
        </w:tc>
        <w:tc>
          <w:tcPr>
            <w:tcW w:w="2268" w:type="dxa"/>
            <w:vAlign w:val="center"/>
          </w:tcPr>
          <w:p w14:paraId="780960C8"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10,000</w:t>
            </w:r>
          </w:p>
        </w:tc>
      </w:tr>
      <w:tr w:rsidR="002C62E1" w:rsidRPr="002C62E1" w14:paraId="70815CD8" w14:textId="77777777" w:rsidTr="008C2CB0">
        <w:tc>
          <w:tcPr>
            <w:tcW w:w="1027" w:type="dxa"/>
            <w:vAlign w:val="center"/>
          </w:tcPr>
          <w:p w14:paraId="26A81828"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w:t>
            </w:r>
          </w:p>
        </w:tc>
        <w:tc>
          <w:tcPr>
            <w:tcW w:w="5069" w:type="dxa"/>
          </w:tcPr>
          <w:p w14:paraId="19B36FA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2,000 but less than 2,500</w:t>
            </w:r>
          </w:p>
        </w:tc>
        <w:tc>
          <w:tcPr>
            <w:tcW w:w="1559" w:type="dxa"/>
            <w:vAlign w:val="center"/>
          </w:tcPr>
          <w:p w14:paraId="13CE36B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4</w:t>
            </w:r>
          </w:p>
        </w:tc>
        <w:tc>
          <w:tcPr>
            <w:tcW w:w="2268" w:type="dxa"/>
            <w:vAlign w:val="center"/>
          </w:tcPr>
          <w:p w14:paraId="6915483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12,000</w:t>
            </w:r>
          </w:p>
        </w:tc>
      </w:tr>
      <w:tr w:rsidR="002C62E1" w:rsidRPr="002C62E1" w14:paraId="3BD412ED" w14:textId="77777777" w:rsidTr="008C2CB0">
        <w:tc>
          <w:tcPr>
            <w:tcW w:w="1027" w:type="dxa"/>
            <w:vAlign w:val="center"/>
          </w:tcPr>
          <w:p w14:paraId="2DD3C10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4</w:t>
            </w:r>
          </w:p>
        </w:tc>
        <w:tc>
          <w:tcPr>
            <w:tcW w:w="5069" w:type="dxa"/>
          </w:tcPr>
          <w:p w14:paraId="2FA02AF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2,500 but less than 3,000</w:t>
            </w:r>
          </w:p>
        </w:tc>
        <w:tc>
          <w:tcPr>
            <w:tcW w:w="1559" w:type="dxa"/>
            <w:vAlign w:val="center"/>
          </w:tcPr>
          <w:p w14:paraId="2E9E0DC5"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3.9</w:t>
            </w:r>
          </w:p>
        </w:tc>
        <w:tc>
          <w:tcPr>
            <w:tcW w:w="2268" w:type="dxa"/>
            <w:vAlign w:val="center"/>
          </w:tcPr>
          <w:p w14:paraId="0082FA9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13,950</w:t>
            </w:r>
          </w:p>
        </w:tc>
      </w:tr>
      <w:tr w:rsidR="002C62E1" w:rsidRPr="002C62E1" w14:paraId="68D61C06" w14:textId="77777777" w:rsidTr="008C2CB0">
        <w:tc>
          <w:tcPr>
            <w:tcW w:w="1027" w:type="dxa"/>
            <w:vAlign w:val="center"/>
          </w:tcPr>
          <w:p w14:paraId="51E6DE0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5</w:t>
            </w:r>
          </w:p>
        </w:tc>
        <w:tc>
          <w:tcPr>
            <w:tcW w:w="5069" w:type="dxa"/>
          </w:tcPr>
          <w:p w14:paraId="20E15066"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3,000 but less than 3,500</w:t>
            </w:r>
          </w:p>
        </w:tc>
        <w:tc>
          <w:tcPr>
            <w:tcW w:w="1559" w:type="dxa"/>
            <w:vAlign w:val="center"/>
          </w:tcPr>
          <w:p w14:paraId="7ED60AF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3.8</w:t>
            </w:r>
          </w:p>
        </w:tc>
        <w:tc>
          <w:tcPr>
            <w:tcW w:w="2268" w:type="dxa"/>
            <w:vAlign w:val="center"/>
          </w:tcPr>
          <w:p w14:paraId="746F31C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15,850</w:t>
            </w:r>
          </w:p>
        </w:tc>
      </w:tr>
      <w:tr w:rsidR="002C62E1" w:rsidRPr="002C62E1" w14:paraId="021B1775" w14:textId="77777777" w:rsidTr="008C2CB0">
        <w:tc>
          <w:tcPr>
            <w:tcW w:w="1027" w:type="dxa"/>
            <w:vAlign w:val="center"/>
          </w:tcPr>
          <w:p w14:paraId="78FE05F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6</w:t>
            </w:r>
          </w:p>
        </w:tc>
        <w:tc>
          <w:tcPr>
            <w:tcW w:w="5069" w:type="dxa"/>
          </w:tcPr>
          <w:p w14:paraId="4436E0B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3,500 but less than 4,000</w:t>
            </w:r>
          </w:p>
        </w:tc>
        <w:tc>
          <w:tcPr>
            <w:tcW w:w="1559" w:type="dxa"/>
            <w:vAlign w:val="center"/>
          </w:tcPr>
          <w:p w14:paraId="0858ABF9"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3.7</w:t>
            </w:r>
          </w:p>
        </w:tc>
        <w:tc>
          <w:tcPr>
            <w:tcW w:w="2268" w:type="dxa"/>
            <w:vAlign w:val="center"/>
          </w:tcPr>
          <w:p w14:paraId="4CCA25D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17,700</w:t>
            </w:r>
          </w:p>
        </w:tc>
      </w:tr>
      <w:tr w:rsidR="002C62E1" w:rsidRPr="002C62E1" w14:paraId="00B7E40C" w14:textId="77777777" w:rsidTr="008C2CB0">
        <w:tc>
          <w:tcPr>
            <w:tcW w:w="1027" w:type="dxa"/>
            <w:vAlign w:val="center"/>
          </w:tcPr>
          <w:p w14:paraId="645F8F4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7</w:t>
            </w:r>
          </w:p>
        </w:tc>
        <w:tc>
          <w:tcPr>
            <w:tcW w:w="5069" w:type="dxa"/>
          </w:tcPr>
          <w:p w14:paraId="4107DA2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4,000 but less than 4,500</w:t>
            </w:r>
          </w:p>
        </w:tc>
        <w:tc>
          <w:tcPr>
            <w:tcW w:w="1559" w:type="dxa"/>
            <w:vAlign w:val="center"/>
          </w:tcPr>
          <w:p w14:paraId="6549E336"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3.6</w:t>
            </w:r>
          </w:p>
        </w:tc>
        <w:tc>
          <w:tcPr>
            <w:tcW w:w="2268" w:type="dxa"/>
            <w:vAlign w:val="center"/>
          </w:tcPr>
          <w:p w14:paraId="5E9E79E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19,500</w:t>
            </w:r>
          </w:p>
        </w:tc>
      </w:tr>
      <w:tr w:rsidR="002C62E1" w:rsidRPr="002C62E1" w14:paraId="440EADEA" w14:textId="77777777" w:rsidTr="008C2CB0">
        <w:tc>
          <w:tcPr>
            <w:tcW w:w="1027" w:type="dxa"/>
            <w:vAlign w:val="center"/>
          </w:tcPr>
          <w:p w14:paraId="29B4524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8</w:t>
            </w:r>
          </w:p>
        </w:tc>
        <w:tc>
          <w:tcPr>
            <w:tcW w:w="5069" w:type="dxa"/>
          </w:tcPr>
          <w:p w14:paraId="05C4AD2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4,500 but less than 5,000</w:t>
            </w:r>
          </w:p>
        </w:tc>
        <w:tc>
          <w:tcPr>
            <w:tcW w:w="1559" w:type="dxa"/>
            <w:vAlign w:val="center"/>
          </w:tcPr>
          <w:p w14:paraId="6532B9B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3.5</w:t>
            </w:r>
          </w:p>
        </w:tc>
        <w:tc>
          <w:tcPr>
            <w:tcW w:w="2268" w:type="dxa"/>
            <w:vAlign w:val="center"/>
          </w:tcPr>
          <w:p w14:paraId="660AB6A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21,250</w:t>
            </w:r>
          </w:p>
        </w:tc>
      </w:tr>
      <w:tr w:rsidR="002C62E1" w:rsidRPr="002C62E1" w14:paraId="362857A2" w14:textId="77777777" w:rsidTr="008C2CB0">
        <w:tc>
          <w:tcPr>
            <w:tcW w:w="1027" w:type="dxa"/>
            <w:vAlign w:val="center"/>
          </w:tcPr>
          <w:p w14:paraId="0232C42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9</w:t>
            </w:r>
          </w:p>
        </w:tc>
        <w:tc>
          <w:tcPr>
            <w:tcW w:w="5069" w:type="dxa"/>
          </w:tcPr>
          <w:p w14:paraId="709BACF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5,000 but less than 6,000</w:t>
            </w:r>
          </w:p>
        </w:tc>
        <w:tc>
          <w:tcPr>
            <w:tcW w:w="1559" w:type="dxa"/>
            <w:vAlign w:val="center"/>
          </w:tcPr>
          <w:p w14:paraId="1F482ED2"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3.4</w:t>
            </w:r>
          </w:p>
        </w:tc>
        <w:tc>
          <w:tcPr>
            <w:tcW w:w="2268" w:type="dxa"/>
            <w:vAlign w:val="center"/>
          </w:tcPr>
          <w:p w14:paraId="2F38EEA7"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24,650</w:t>
            </w:r>
          </w:p>
        </w:tc>
      </w:tr>
      <w:tr w:rsidR="002C62E1" w:rsidRPr="002C62E1" w14:paraId="2C956F1B" w14:textId="77777777" w:rsidTr="008C2CB0">
        <w:tc>
          <w:tcPr>
            <w:tcW w:w="1027" w:type="dxa"/>
            <w:vAlign w:val="center"/>
          </w:tcPr>
          <w:p w14:paraId="44B6A8F5"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10</w:t>
            </w:r>
          </w:p>
        </w:tc>
        <w:tc>
          <w:tcPr>
            <w:tcW w:w="5069" w:type="dxa"/>
          </w:tcPr>
          <w:p w14:paraId="2E7CA74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6,000 but less than 7,000</w:t>
            </w:r>
          </w:p>
        </w:tc>
        <w:tc>
          <w:tcPr>
            <w:tcW w:w="1559" w:type="dxa"/>
            <w:vAlign w:val="center"/>
          </w:tcPr>
          <w:p w14:paraId="7F2B2F2D"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3.3</w:t>
            </w:r>
          </w:p>
        </w:tc>
        <w:tc>
          <w:tcPr>
            <w:tcW w:w="2268" w:type="dxa"/>
            <w:vAlign w:val="center"/>
          </w:tcPr>
          <w:p w14:paraId="36BDDB5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27,950</w:t>
            </w:r>
          </w:p>
        </w:tc>
      </w:tr>
      <w:tr w:rsidR="002C62E1" w:rsidRPr="002C62E1" w14:paraId="739152F3" w14:textId="77777777" w:rsidTr="008C2CB0">
        <w:tc>
          <w:tcPr>
            <w:tcW w:w="1027" w:type="dxa"/>
            <w:vAlign w:val="center"/>
          </w:tcPr>
          <w:p w14:paraId="7BD41CF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lastRenderedPageBreak/>
              <w:t>11</w:t>
            </w:r>
          </w:p>
        </w:tc>
        <w:tc>
          <w:tcPr>
            <w:tcW w:w="5069" w:type="dxa"/>
          </w:tcPr>
          <w:p w14:paraId="136959B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7,000 but less than 8,000</w:t>
            </w:r>
          </w:p>
        </w:tc>
        <w:tc>
          <w:tcPr>
            <w:tcW w:w="1559" w:type="dxa"/>
            <w:vAlign w:val="center"/>
          </w:tcPr>
          <w:p w14:paraId="4BA2F3A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3.2</w:t>
            </w:r>
          </w:p>
        </w:tc>
        <w:tc>
          <w:tcPr>
            <w:tcW w:w="2268" w:type="dxa"/>
            <w:vAlign w:val="center"/>
          </w:tcPr>
          <w:p w14:paraId="45694BE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31,150</w:t>
            </w:r>
          </w:p>
        </w:tc>
      </w:tr>
      <w:tr w:rsidR="002C62E1" w:rsidRPr="002C62E1" w14:paraId="29D91FB6" w14:textId="77777777" w:rsidTr="008C2CB0">
        <w:tc>
          <w:tcPr>
            <w:tcW w:w="1027" w:type="dxa"/>
            <w:vAlign w:val="center"/>
          </w:tcPr>
          <w:p w14:paraId="29282E6A"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12</w:t>
            </w:r>
          </w:p>
        </w:tc>
        <w:tc>
          <w:tcPr>
            <w:tcW w:w="5069" w:type="dxa"/>
          </w:tcPr>
          <w:p w14:paraId="05894EF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8,000 but less than 9,000</w:t>
            </w:r>
          </w:p>
        </w:tc>
        <w:tc>
          <w:tcPr>
            <w:tcW w:w="1559" w:type="dxa"/>
            <w:vAlign w:val="center"/>
          </w:tcPr>
          <w:p w14:paraId="7FA7CF0B"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3.1</w:t>
            </w:r>
          </w:p>
        </w:tc>
        <w:tc>
          <w:tcPr>
            <w:tcW w:w="2268" w:type="dxa"/>
            <w:vAlign w:val="center"/>
          </w:tcPr>
          <w:p w14:paraId="63BECD5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34,250</w:t>
            </w:r>
          </w:p>
        </w:tc>
      </w:tr>
      <w:tr w:rsidR="002C62E1" w:rsidRPr="002C62E1" w14:paraId="470658BA" w14:textId="77777777" w:rsidTr="008C2CB0">
        <w:tc>
          <w:tcPr>
            <w:tcW w:w="1027" w:type="dxa"/>
            <w:vAlign w:val="center"/>
          </w:tcPr>
          <w:p w14:paraId="09A24211"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13</w:t>
            </w:r>
          </w:p>
        </w:tc>
        <w:tc>
          <w:tcPr>
            <w:tcW w:w="5069" w:type="dxa"/>
          </w:tcPr>
          <w:p w14:paraId="30CD3B7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9,000 but less than 10,000</w:t>
            </w:r>
          </w:p>
        </w:tc>
        <w:tc>
          <w:tcPr>
            <w:tcW w:w="1559" w:type="dxa"/>
            <w:vAlign w:val="center"/>
          </w:tcPr>
          <w:p w14:paraId="4C6E8A3C"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w:t>
            </w:r>
          </w:p>
        </w:tc>
        <w:tc>
          <w:tcPr>
            <w:tcW w:w="2268" w:type="dxa"/>
            <w:vAlign w:val="center"/>
          </w:tcPr>
          <w:p w14:paraId="47BA095F"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37,250</w:t>
            </w:r>
          </w:p>
        </w:tc>
      </w:tr>
      <w:tr w:rsidR="002C62E1" w:rsidRPr="002C62E1" w14:paraId="54857999" w14:textId="77777777" w:rsidTr="008C2CB0">
        <w:tc>
          <w:tcPr>
            <w:tcW w:w="1027" w:type="dxa"/>
            <w:vAlign w:val="center"/>
          </w:tcPr>
          <w:p w14:paraId="5986C1E4"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14</w:t>
            </w:r>
          </w:p>
        </w:tc>
        <w:tc>
          <w:tcPr>
            <w:tcW w:w="5069" w:type="dxa"/>
          </w:tcPr>
          <w:p w14:paraId="21C93E5E"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More than 10,000</w:t>
            </w:r>
          </w:p>
        </w:tc>
        <w:tc>
          <w:tcPr>
            <w:tcW w:w="1559" w:type="dxa"/>
            <w:vAlign w:val="center"/>
          </w:tcPr>
          <w:p w14:paraId="406A5D43" w14:textId="77777777" w:rsidR="00B74160" w:rsidRPr="002C62E1" w:rsidRDefault="00B74160" w:rsidP="008C2CB0">
            <w:pPr>
              <w:spacing w:afterLines="50" w:after="120"/>
              <w:jc w:val="center"/>
              <w:rPr>
                <w:rFonts w:ascii="Cagliostro" w:eastAsia="微軟正黑體" w:hAnsi="Cagliostro" w:cstheme="minorHAnsi"/>
              </w:rPr>
            </w:pPr>
            <w:r w:rsidRPr="002C62E1">
              <w:rPr>
                <w:rFonts w:ascii="Cagliostro" w:eastAsia="微軟正黑體" w:hAnsi="Cagliostro" w:cstheme="minorHAnsi"/>
              </w:rPr>
              <w:t>2.9</w:t>
            </w:r>
          </w:p>
        </w:tc>
        <w:tc>
          <w:tcPr>
            <w:tcW w:w="2268" w:type="dxa"/>
            <w:vAlign w:val="center"/>
          </w:tcPr>
          <w:p w14:paraId="4B88A742" w14:textId="77777777" w:rsidR="00B74160" w:rsidRPr="002C62E1" w:rsidRDefault="00B74160" w:rsidP="008C2CB0">
            <w:pPr>
              <w:spacing w:afterLines="50" w:after="120"/>
              <w:jc w:val="center"/>
              <w:rPr>
                <w:rFonts w:ascii="Cagliostro" w:eastAsia="微軟正黑體" w:hAnsi="Cagliostro" w:cstheme="minorHAnsi"/>
              </w:rPr>
            </w:pPr>
          </w:p>
        </w:tc>
      </w:tr>
    </w:tbl>
    <w:p w14:paraId="576123DE" w14:textId="0F7E9B1B" w:rsidR="00B52CCB" w:rsidRPr="002C62E1" w:rsidRDefault="00B52CCB" w:rsidP="000D5875">
      <w:pPr>
        <w:spacing w:afterLines="50" w:after="120"/>
        <w:rPr>
          <w:rFonts w:ascii="Cagliostro" w:eastAsia="微軟正黑體" w:hAnsi="Cagliostro" w:cstheme="minorHAnsi"/>
        </w:rPr>
      </w:pPr>
    </w:p>
    <w:p w14:paraId="39AAFDDF" w14:textId="77777777" w:rsidR="003B075C" w:rsidRPr="002C62E1" w:rsidRDefault="003B075C" w:rsidP="003B075C">
      <w:pPr>
        <w:rPr>
          <w:rFonts w:eastAsia="微軟正黑體" w:cstheme="minorHAnsi"/>
        </w:rPr>
      </w:pPr>
      <w:r w:rsidRPr="002C62E1">
        <w:rPr>
          <w:rFonts w:eastAsia="微軟正黑體" w:cstheme="minorHAnsi"/>
        </w:rPr>
        <w:t xml:space="preserve">Note: </w:t>
      </w:r>
    </w:p>
    <w:p w14:paraId="071112DC" w14:textId="6FDA1FEA" w:rsidR="00B74160" w:rsidRPr="002C62E1" w:rsidRDefault="003B075C" w:rsidP="003B075C">
      <w:pPr>
        <w:spacing w:afterLines="50" w:after="120"/>
        <w:rPr>
          <w:rFonts w:ascii="Cagliostro" w:eastAsia="微軟正黑體" w:hAnsi="Cagliostro" w:cstheme="minorHAnsi"/>
        </w:rPr>
      </w:pPr>
      <w:r w:rsidRPr="002C62E1">
        <w:rPr>
          <w:rFonts w:eastAsia="微軟正黑體" w:cstheme="minorHAnsi"/>
        </w:rPr>
        <w:t>In the event that the area of factory building of a park enterprise specified in Paragraph 1 of Article 6 of the Regulation is 300 M² or less, the management fees of such park enterprise shall be NT$ 2,000 for each month and limited for a period of three years from the next day of registration.</w:t>
      </w:r>
    </w:p>
    <w:p w14:paraId="5602E485" w14:textId="4805A765" w:rsidR="00B74160" w:rsidRPr="002C62E1" w:rsidRDefault="00B74160" w:rsidP="000D5875">
      <w:pPr>
        <w:spacing w:afterLines="50" w:after="120"/>
        <w:rPr>
          <w:rFonts w:ascii="Cagliostro" w:eastAsia="微軟正黑體" w:hAnsi="Cagliostro" w:cstheme="minorHAnsi"/>
        </w:rPr>
      </w:pPr>
    </w:p>
    <w:p w14:paraId="56FAA042" w14:textId="1E0744ED" w:rsidR="00BB5057" w:rsidRPr="002C62E1" w:rsidRDefault="00BB5057" w:rsidP="000D5875">
      <w:pPr>
        <w:widowControl/>
        <w:spacing w:afterLines="50" w:after="120"/>
        <w:rPr>
          <w:rFonts w:ascii="Cagliostro" w:eastAsia="微軟正黑體" w:hAnsi="Cagliostro" w:cstheme="minorHAnsi"/>
        </w:rPr>
      </w:pPr>
    </w:p>
    <w:p w14:paraId="67E2FABC" w14:textId="2237E9F3" w:rsidR="00D26463" w:rsidRDefault="00D26463">
      <w:pPr>
        <w:widowControl/>
        <w:rPr>
          <w:rFonts w:ascii="Cagliostro" w:eastAsia="微軟正黑體" w:hAnsi="Cagliostro" w:cstheme="minorHAnsi"/>
        </w:rPr>
      </w:pPr>
      <w:r>
        <w:rPr>
          <w:rFonts w:ascii="Cagliostro" w:eastAsia="微軟正黑體" w:hAnsi="Cagliostro" w:cstheme="minorHAnsi"/>
        </w:rPr>
        <w:br w:type="page"/>
      </w:r>
    </w:p>
    <w:p w14:paraId="1216B1CE" w14:textId="77777777" w:rsidR="00E85307" w:rsidRPr="002C62E1" w:rsidRDefault="00E85307" w:rsidP="00E85307">
      <w:pPr>
        <w:rPr>
          <w:rFonts w:eastAsia="微軟正黑體" w:cstheme="minorHAnsi"/>
        </w:rPr>
      </w:pPr>
      <w:bookmarkStart w:id="1" w:name="_GoBack"/>
      <w:bookmarkEnd w:id="1"/>
      <w:r w:rsidRPr="002C62E1">
        <w:rPr>
          <w:rFonts w:eastAsia="微軟正黑體" w:cstheme="minorHAnsi"/>
        </w:rPr>
        <w:lastRenderedPageBreak/>
        <w:t>Attachment II</w:t>
      </w:r>
    </w:p>
    <w:p w14:paraId="0BAFD919" w14:textId="77777777" w:rsidR="00E85307" w:rsidRPr="002C62E1" w:rsidRDefault="00E85307" w:rsidP="00E85307">
      <w:pPr>
        <w:rPr>
          <w:rFonts w:eastAsia="微軟正黑體" w:cstheme="minorHAnsi"/>
        </w:rPr>
      </w:pPr>
      <w:r w:rsidRPr="002C62E1">
        <w:rPr>
          <w:rFonts w:eastAsia="微軟正黑體" w:cstheme="minorHAnsi"/>
        </w:rPr>
        <w:t>Table of Rates of the Management Fees for the Park Enterprises Located in Urban Parks</w:t>
      </w:r>
    </w:p>
    <w:p w14:paraId="09B9FAAE" w14:textId="36112FB3" w:rsidR="00BB5057" w:rsidRPr="002C62E1" w:rsidRDefault="00BB5057" w:rsidP="000D5875">
      <w:pPr>
        <w:spacing w:afterLines="50" w:after="120"/>
        <w:rPr>
          <w:rFonts w:ascii="Cagliostro" w:eastAsia="微軟正黑體" w:hAnsi="Cagliostro" w:cstheme="minorHAnsi"/>
        </w:rPr>
      </w:pPr>
    </w:p>
    <w:tbl>
      <w:tblPr>
        <w:tblStyle w:val="a3"/>
        <w:tblW w:w="9747" w:type="dxa"/>
        <w:tblInd w:w="29" w:type="dxa"/>
        <w:tblLayout w:type="fixed"/>
        <w:tblLook w:val="04A0" w:firstRow="1" w:lastRow="0" w:firstColumn="1" w:lastColumn="0" w:noHBand="0" w:noVBand="1"/>
      </w:tblPr>
      <w:tblGrid>
        <w:gridCol w:w="709"/>
        <w:gridCol w:w="3085"/>
        <w:gridCol w:w="1842"/>
        <w:gridCol w:w="4111"/>
      </w:tblGrid>
      <w:tr w:rsidR="002C62E1" w:rsidRPr="002C62E1" w14:paraId="0C339978" w14:textId="77777777" w:rsidTr="00B4071B">
        <w:tc>
          <w:tcPr>
            <w:tcW w:w="709" w:type="dxa"/>
            <w:vAlign w:val="center"/>
          </w:tcPr>
          <w:p w14:paraId="76D96F45" w14:textId="77777777" w:rsidR="00E85307" w:rsidRPr="002C62E1" w:rsidRDefault="00E85307" w:rsidP="00B34A3D">
            <w:pPr>
              <w:spacing w:afterLines="50" w:after="120"/>
              <w:jc w:val="center"/>
              <w:rPr>
                <w:rFonts w:ascii="Cagliostro" w:eastAsia="微軟正黑體" w:hAnsi="Cagliostro" w:cstheme="minorHAnsi"/>
              </w:rPr>
            </w:pPr>
            <w:r w:rsidRPr="002C62E1">
              <w:rPr>
                <w:rFonts w:ascii="Cagliostro" w:eastAsia="微軟正黑體" w:hAnsi="Cagliostro" w:cstheme="minorHAnsi"/>
              </w:rPr>
              <w:t>Item</w:t>
            </w:r>
          </w:p>
        </w:tc>
        <w:tc>
          <w:tcPr>
            <w:tcW w:w="3085" w:type="dxa"/>
            <w:vAlign w:val="center"/>
          </w:tcPr>
          <w:p w14:paraId="0E8E8FE6" w14:textId="77777777" w:rsidR="00E85307" w:rsidRPr="002C62E1" w:rsidRDefault="00E85307" w:rsidP="00B34A3D">
            <w:pPr>
              <w:pStyle w:val="2"/>
              <w:snapToGrid w:val="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Identity of science park/identity of land</w:t>
            </w:r>
          </w:p>
        </w:tc>
        <w:tc>
          <w:tcPr>
            <w:tcW w:w="1842" w:type="dxa"/>
            <w:vAlign w:val="center"/>
          </w:tcPr>
          <w:p w14:paraId="0E331857" w14:textId="77777777" w:rsidR="00E85307" w:rsidRPr="002C62E1" w:rsidRDefault="00E85307" w:rsidP="00B34A3D">
            <w:pPr>
              <w:pStyle w:val="2"/>
              <w:snapToGrid w:val="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 xml:space="preserve"> Fee </w:t>
            </w:r>
            <w:proofErr w:type="gramStart"/>
            <w:r w:rsidRPr="002C62E1">
              <w:rPr>
                <w:rFonts w:ascii="Cagliostro" w:eastAsia="微軟正黑體" w:hAnsi="Cagliostro" w:cstheme="minorHAnsi"/>
                <w:sz w:val="24"/>
                <w:szCs w:val="28"/>
                <w:lang w:bidi="th-TH"/>
              </w:rPr>
              <w:t>Rate  (</w:t>
            </w:r>
            <w:proofErr w:type="gramEnd"/>
            <w:r w:rsidRPr="002C62E1">
              <w:rPr>
                <w:rFonts w:ascii="Cagliostro" w:eastAsia="微軟正黑體" w:hAnsi="Cagliostro" w:cstheme="minorHAnsi"/>
                <w:sz w:val="24"/>
                <w:szCs w:val="28"/>
                <w:lang w:bidi="th-TH"/>
              </w:rPr>
              <w:t>New Taiwan Dollars/M²)</w:t>
            </w:r>
          </w:p>
        </w:tc>
        <w:tc>
          <w:tcPr>
            <w:tcW w:w="4111" w:type="dxa"/>
            <w:vAlign w:val="center"/>
          </w:tcPr>
          <w:p w14:paraId="59397468" w14:textId="77777777" w:rsidR="00E85307" w:rsidRPr="002C62E1" w:rsidRDefault="00E85307" w:rsidP="00B34A3D">
            <w:pPr>
              <w:pStyle w:val="2"/>
              <w:snapToGrid w:val="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Progressive Difference (New Taiwan Dollars)</w:t>
            </w:r>
          </w:p>
        </w:tc>
      </w:tr>
      <w:tr w:rsidR="00E85307" w:rsidRPr="002C62E1" w14:paraId="4DBEC5FB" w14:textId="77777777" w:rsidTr="00B4071B">
        <w:tc>
          <w:tcPr>
            <w:tcW w:w="709" w:type="dxa"/>
            <w:vAlign w:val="center"/>
          </w:tcPr>
          <w:p w14:paraId="32934259" w14:textId="77777777" w:rsidR="00E85307" w:rsidRPr="002C62E1" w:rsidRDefault="00E85307" w:rsidP="00B34A3D">
            <w:pPr>
              <w:spacing w:afterLines="50" w:after="120"/>
              <w:jc w:val="center"/>
              <w:rPr>
                <w:rFonts w:ascii="Cagliostro" w:eastAsia="微軟正黑體" w:hAnsi="Cagliostro" w:cstheme="minorHAnsi"/>
              </w:rPr>
            </w:pPr>
            <w:r w:rsidRPr="002C62E1">
              <w:rPr>
                <w:rFonts w:ascii="Cagliostro" w:eastAsia="微軟正黑體" w:hAnsi="Cagliostro" w:cstheme="minorHAnsi"/>
              </w:rPr>
              <w:t>1</w:t>
            </w:r>
          </w:p>
        </w:tc>
        <w:tc>
          <w:tcPr>
            <w:tcW w:w="3085" w:type="dxa"/>
            <w:vAlign w:val="center"/>
          </w:tcPr>
          <w:p w14:paraId="56651B2F" w14:textId="77777777" w:rsidR="00E85307" w:rsidRPr="002C62E1" w:rsidRDefault="00E85307" w:rsidP="00B34A3D">
            <w:pPr>
              <w:pStyle w:val="2"/>
              <w:snapToGrid w:val="0"/>
              <w:jc w:val="center"/>
              <w:rPr>
                <w:rFonts w:ascii="Cagliostro" w:eastAsia="微軟正黑體" w:hAnsi="Cagliostro" w:cstheme="minorHAnsi"/>
                <w:sz w:val="24"/>
                <w:szCs w:val="28"/>
                <w:lang w:bidi="th-TH"/>
              </w:rPr>
            </w:pPr>
            <w:r w:rsidRPr="002C62E1">
              <w:rPr>
                <w:rFonts w:ascii="Cagliostro" w:eastAsia="微軟正黑體" w:hAnsi="Cagliostro" w:cstheme="minorHAnsi"/>
                <w:sz w:val="24"/>
                <w:szCs w:val="28"/>
                <w:lang w:bidi="th-TH"/>
              </w:rPr>
              <w:t>Hsinchu Science Park/ X land</w:t>
            </w:r>
          </w:p>
        </w:tc>
        <w:tc>
          <w:tcPr>
            <w:tcW w:w="1842" w:type="dxa"/>
            <w:vAlign w:val="center"/>
          </w:tcPr>
          <w:p w14:paraId="7FD0C585" w14:textId="77777777" w:rsidR="00E85307" w:rsidRPr="002C62E1" w:rsidRDefault="00E85307" w:rsidP="00B34A3D">
            <w:pPr>
              <w:spacing w:afterLines="50" w:after="120"/>
              <w:jc w:val="center"/>
              <w:rPr>
                <w:rFonts w:ascii="Cagliostro" w:eastAsia="微軟正黑體" w:hAnsi="Cagliostro" w:cstheme="minorHAnsi"/>
              </w:rPr>
            </w:pPr>
            <w:r w:rsidRPr="002C62E1">
              <w:rPr>
                <w:rFonts w:ascii="Cagliostro" w:eastAsia="微軟正黑體" w:hAnsi="Cagliostro" w:cstheme="minorHAnsi"/>
              </w:rPr>
              <w:t>37</w:t>
            </w:r>
          </w:p>
        </w:tc>
        <w:tc>
          <w:tcPr>
            <w:tcW w:w="4111" w:type="dxa"/>
            <w:vAlign w:val="center"/>
          </w:tcPr>
          <w:p w14:paraId="07366B4B" w14:textId="77777777" w:rsidR="00E85307" w:rsidRPr="002C62E1" w:rsidRDefault="00E85307" w:rsidP="00B34A3D">
            <w:pPr>
              <w:spacing w:afterLines="50" w:after="120"/>
              <w:jc w:val="center"/>
              <w:rPr>
                <w:rFonts w:ascii="Cagliostro" w:eastAsia="微軟正黑體" w:hAnsi="Cagliostro" w:cstheme="minorHAnsi"/>
              </w:rPr>
            </w:pPr>
            <w:r w:rsidRPr="002C62E1">
              <w:rPr>
                <w:rFonts w:ascii="Cagliostro" w:eastAsia="微軟正黑體" w:hAnsi="Cagliostro" w:cstheme="minorHAnsi"/>
              </w:rPr>
              <w:t>None</w:t>
            </w:r>
          </w:p>
        </w:tc>
      </w:tr>
    </w:tbl>
    <w:p w14:paraId="3ED2ACC5" w14:textId="582B6AC7" w:rsidR="00DE1382" w:rsidRPr="002C62E1" w:rsidRDefault="00DE1382" w:rsidP="000D5875">
      <w:pPr>
        <w:spacing w:afterLines="50" w:after="120"/>
        <w:rPr>
          <w:rFonts w:ascii="Cagliostro" w:eastAsia="微軟正黑體" w:hAnsi="Cagliostro" w:cstheme="minorHAnsi"/>
        </w:rPr>
      </w:pPr>
    </w:p>
    <w:p w14:paraId="14AC2B23" w14:textId="2BFFA533" w:rsidR="00E85307" w:rsidRPr="002C62E1" w:rsidRDefault="00E85307" w:rsidP="000D5875">
      <w:pPr>
        <w:spacing w:afterLines="50" w:after="120"/>
        <w:rPr>
          <w:rFonts w:ascii="Cagliostro" w:eastAsia="微軟正黑體" w:hAnsi="Cagliostro" w:cstheme="minorHAnsi"/>
        </w:rPr>
      </w:pPr>
    </w:p>
    <w:p w14:paraId="097153F2" w14:textId="5BAE2A27" w:rsidR="00E85307" w:rsidRPr="002C62E1" w:rsidRDefault="00E85307" w:rsidP="000D5875">
      <w:pPr>
        <w:spacing w:afterLines="50" w:after="120"/>
        <w:rPr>
          <w:rFonts w:ascii="Cagliostro" w:eastAsia="微軟正黑體" w:hAnsi="Cagliostro" w:cstheme="minorHAnsi"/>
        </w:rPr>
      </w:pPr>
    </w:p>
    <w:p w14:paraId="4393FFB2" w14:textId="77777777" w:rsidR="00E85307" w:rsidRPr="002C62E1" w:rsidRDefault="00E85307" w:rsidP="000D5875">
      <w:pPr>
        <w:spacing w:afterLines="50" w:after="120"/>
        <w:rPr>
          <w:rFonts w:ascii="Cagliostro" w:eastAsia="微軟正黑體" w:hAnsi="Cagliostro" w:cstheme="minorHAnsi"/>
        </w:rPr>
      </w:pPr>
    </w:p>
    <w:p w14:paraId="14A9ED30" w14:textId="77777777" w:rsidR="00BB5057" w:rsidRPr="002C62E1" w:rsidRDefault="00BB5057" w:rsidP="000D5875">
      <w:pPr>
        <w:spacing w:afterLines="50" w:after="120"/>
        <w:rPr>
          <w:rFonts w:ascii="Cagliostro" w:eastAsia="微軟正黑體" w:hAnsi="Cagliostro" w:cstheme="minorHAnsi"/>
        </w:rPr>
      </w:pPr>
    </w:p>
    <w:p w14:paraId="55FD0CAC" w14:textId="77777777" w:rsidR="00347C66" w:rsidRPr="002C62E1" w:rsidRDefault="00347C66" w:rsidP="000D5875">
      <w:pPr>
        <w:widowControl/>
        <w:spacing w:afterLines="50" w:after="120"/>
        <w:rPr>
          <w:rFonts w:ascii="Cagliostro" w:eastAsia="微軟正黑體" w:hAnsi="Cagliostro" w:cstheme="minorHAnsi"/>
        </w:rPr>
      </w:pPr>
      <w:r w:rsidRPr="002C62E1">
        <w:rPr>
          <w:rFonts w:ascii="Cagliostro" w:eastAsia="微軟正黑體" w:hAnsi="Cagliostro" w:cstheme="minorHAnsi"/>
        </w:rPr>
        <w:br w:type="page"/>
      </w:r>
    </w:p>
    <w:p w14:paraId="5F831819" w14:textId="77777777" w:rsidR="003D10BD" w:rsidRPr="002C62E1" w:rsidRDefault="003D10BD" w:rsidP="003D10BD">
      <w:pPr>
        <w:rPr>
          <w:rFonts w:eastAsia="微軟正黑體" w:cstheme="minorHAnsi"/>
        </w:rPr>
      </w:pPr>
      <w:r w:rsidRPr="002C62E1">
        <w:rPr>
          <w:rFonts w:eastAsia="微軟正黑體" w:cstheme="minorHAnsi"/>
        </w:rPr>
        <w:lastRenderedPageBreak/>
        <w:t xml:space="preserve">Attachment III: </w:t>
      </w:r>
    </w:p>
    <w:p w14:paraId="1B26522C" w14:textId="2AD23434" w:rsidR="003D10BD" w:rsidRPr="002C62E1" w:rsidRDefault="003D10BD" w:rsidP="003D10BD">
      <w:pPr>
        <w:spacing w:afterLines="50" w:after="120"/>
        <w:rPr>
          <w:rFonts w:eastAsia="微軟正黑體" w:cstheme="minorHAnsi"/>
        </w:rPr>
      </w:pPr>
      <w:r w:rsidRPr="002C62E1">
        <w:rPr>
          <w:rFonts w:eastAsia="微軟正黑體" w:cstheme="minorHAnsi"/>
        </w:rPr>
        <w:t>List of Management Fees for Other Institutions within the Science Park (Excluding Park Enterprises and Financial Institutions in the Park)</w:t>
      </w:r>
    </w:p>
    <w:tbl>
      <w:tblPr>
        <w:tblW w:w="9776" w:type="dxa"/>
        <w:tblLayout w:type="fixed"/>
        <w:tblCellMar>
          <w:left w:w="57" w:type="dxa"/>
          <w:right w:w="57" w:type="dxa"/>
        </w:tblCellMar>
        <w:tblLook w:val="0000" w:firstRow="0" w:lastRow="0" w:firstColumn="0" w:lastColumn="0" w:noHBand="0" w:noVBand="0"/>
      </w:tblPr>
      <w:tblGrid>
        <w:gridCol w:w="1696"/>
        <w:gridCol w:w="2552"/>
        <w:gridCol w:w="5528"/>
      </w:tblGrid>
      <w:tr w:rsidR="002C62E1" w:rsidRPr="002C62E1" w14:paraId="5AA002BB" w14:textId="77777777" w:rsidTr="004535A1">
        <w:trPr>
          <w:trHeight w:val="825"/>
        </w:trPr>
        <w:tc>
          <w:tcPr>
            <w:tcW w:w="1696" w:type="dxa"/>
            <w:tcBorders>
              <w:top w:val="single" w:sz="4" w:space="0" w:color="000000"/>
              <w:left w:val="single" w:sz="4" w:space="0" w:color="000000"/>
              <w:bottom w:val="single" w:sz="4" w:space="0" w:color="000000"/>
            </w:tcBorders>
            <w:shd w:val="clear" w:color="auto" w:fill="auto"/>
            <w:vAlign w:val="center"/>
          </w:tcPr>
          <w:p w14:paraId="4E89339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Classification of</w:t>
            </w:r>
          </w:p>
          <w:p w14:paraId="008D0239"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Institution</w:t>
            </w:r>
          </w:p>
        </w:tc>
        <w:tc>
          <w:tcPr>
            <w:tcW w:w="2552" w:type="dxa"/>
            <w:tcBorders>
              <w:top w:val="single" w:sz="4" w:space="0" w:color="000000"/>
              <w:left w:val="single" w:sz="4" w:space="0" w:color="000000"/>
              <w:bottom w:val="single" w:sz="4" w:space="0" w:color="000000"/>
            </w:tcBorders>
            <w:shd w:val="clear" w:color="auto" w:fill="auto"/>
            <w:vAlign w:val="center"/>
          </w:tcPr>
          <w:p w14:paraId="3C9AFA6E"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Standard of</w:t>
            </w:r>
          </w:p>
          <w:p w14:paraId="208630DF"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Charges</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570D90F6" w14:textId="77777777" w:rsidR="00B935FB" w:rsidRPr="002C62E1" w:rsidRDefault="00B935FB" w:rsidP="004535A1">
            <w:pPr>
              <w:rPr>
                <w:rFonts w:ascii="Cagliostro" w:eastAsia="微軟正黑體" w:hAnsi="Cagliostro" w:cstheme="minorHAnsi"/>
                <w:sz w:val="22"/>
                <w:szCs w:val="22"/>
              </w:rPr>
            </w:pPr>
            <w:r w:rsidRPr="002C62E1">
              <w:rPr>
                <w:rFonts w:ascii="Cagliostro" w:eastAsia="微軟正黑體" w:hAnsi="Cagliostro" w:cstheme="minorHAnsi"/>
                <w:sz w:val="22"/>
                <w:szCs w:val="22"/>
              </w:rPr>
              <w:t xml:space="preserve">Method of Calculation: </w:t>
            </w:r>
          </w:p>
          <w:p w14:paraId="29025C69" w14:textId="776D78BA" w:rsidR="00B935FB" w:rsidRPr="002C62E1" w:rsidRDefault="00B935FB" w:rsidP="004535A1">
            <w:pPr>
              <w:rPr>
                <w:rFonts w:ascii="Cagliostro" w:eastAsia="微軟正黑體" w:hAnsi="Cagliostro" w:cstheme="minorHAnsi"/>
                <w:sz w:val="22"/>
                <w:szCs w:val="22"/>
              </w:rPr>
            </w:pPr>
            <w:r w:rsidRPr="002C62E1">
              <w:rPr>
                <w:rFonts w:ascii="Cagliostro" w:eastAsia="微軟正黑體" w:hAnsi="Cagliostro" w:cstheme="minorHAnsi"/>
                <w:sz w:val="22"/>
                <w:szCs w:val="22"/>
              </w:rPr>
              <w:t>Fixed Minimum Charge and Use of Progressive Calculation by Interval</w:t>
            </w:r>
          </w:p>
        </w:tc>
      </w:tr>
      <w:tr w:rsidR="002C62E1" w:rsidRPr="002C62E1" w14:paraId="22B81DE3" w14:textId="77777777" w:rsidTr="00A36BA5">
        <w:trPr>
          <w:trHeight w:val="3388"/>
        </w:trPr>
        <w:tc>
          <w:tcPr>
            <w:tcW w:w="1696" w:type="dxa"/>
            <w:tcBorders>
              <w:top w:val="single" w:sz="4" w:space="0" w:color="000000"/>
              <w:left w:val="single" w:sz="4" w:space="0" w:color="000000"/>
              <w:bottom w:val="single" w:sz="4" w:space="0" w:color="000000"/>
            </w:tcBorders>
            <w:shd w:val="clear" w:color="auto" w:fill="auto"/>
            <w:vAlign w:val="center"/>
          </w:tcPr>
          <w:p w14:paraId="4795B0E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Business of Custom Declaring / Business of Transportation</w:t>
            </w:r>
          </w:p>
        </w:tc>
        <w:tc>
          <w:tcPr>
            <w:tcW w:w="2552" w:type="dxa"/>
            <w:tcBorders>
              <w:top w:val="single" w:sz="4" w:space="0" w:color="000000"/>
              <w:left w:val="single" w:sz="4" w:space="0" w:color="000000"/>
              <w:bottom w:val="single" w:sz="4" w:space="0" w:color="000000"/>
            </w:tcBorders>
            <w:shd w:val="clear" w:color="auto" w:fill="auto"/>
            <w:vAlign w:val="center"/>
          </w:tcPr>
          <w:p w14:paraId="54B14AA4"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Use of Progressive Calculation by Interval Based on the Rented Area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1D8ABB20" w14:textId="354F7CC9" w:rsidR="00B935FB" w:rsidRPr="002C62E1" w:rsidRDefault="00B935FB" w:rsidP="004535A1">
            <w:pPr>
              <w:rPr>
                <w:rFonts w:ascii="Cagliostro" w:eastAsia="微軟正黑體" w:hAnsi="Cagliostro" w:cstheme="minorHAnsi"/>
                <w:sz w:val="22"/>
                <w:szCs w:val="22"/>
              </w:rPr>
            </w:pPr>
            <w:r w:rsidRPr="002C62E1">
              <w:rPr>
                <w:rFonts w:ascii="Cagliostro" w:eastAsia="微軟正黑體" w:hAnsi="Cagliostro" w:cstheme="minorHAnsi"/>
                <w:sz w:val="22"/>
                <w:szCs w:val="22"/>
              </w:rPr>
              <w:t>Minimum Charge NT$ 4</w:t>
            </w:r>
            <w:r w:rsidRPr="002C62E1">
              <w:rPr>
                <w:rFonts w:ascii="Cagliostro" w:eastAsia="微軟正黑體" w:hAnsi="Cagliostro" w:cstheme="minorHAnsi" w:hint="eastAsia"/>
                <w:sz w:val="22"/>
                <w:szCs w:val="22"/>
              </w:rPr>
              <w:t>,</w:t>
            </w:r>
            <w:r w:rsidRPr="002C62E1">
              <w:rPr>
                <w:rFonts w:ascii="Cagliostro" w:eastAsia="微軟正黑體" w:hAnsi="Cagliostro" w:cstheme="minorHAnsi"/>
                <w:sz w:val="22"/>
                <w:szCs w:val="22"/>
              </w:rPr>
              <w:t>500/Month</w:t>
            </w:r>
          </w:p>
          <w:tbl>
            <w:tblPr>
              <w:tblW w:w="5249" w:type="dxa"/>
              <w:tblInd w:w="77" w:type="dxa"/>
              <w:tblLayout w:type="fixed"/>
              <w:tblCellMar>
                <w:left w:w="57" w:type="dxa"/>
                <w:right w:w="57" w:type="dxa"/>
              </w:tblCellMar>
              <w:tblLook w:val="0000" w:firstRow="0" w:lastRow="0" w:firstColumn="0" w:lastColumn="0" w:noHBand="0" w:noVBand="0"/>
            </w:tblPr>
            <w:tblGrid>
              <w:gridCol w:w="855"/>
              <w:gridCol w:w="1276"/>
              <w:gridCol w:w="1276"/>
              <w:gridCol w:w="1842"/>
            </w:tblGrid>
            <w:tr w:rsidR="002C62E1" w:rsidRPr="002C62E1" w14:paraId="4719D934" w14:textId="77777777" w:rsidTr="004535A1">
              <w:tc>
                <w:tcPr>
                  <w:tcW w:w="855" w:type="dxa"/>
                  <w:tcBorders>
                    <w:top w:val="single" w:sz="4" w:space="0" w:color="000000"/>
                    <w:left w:val="single" w:sz="4" w:space="0" w:color="000000"/>
                    <w:bottom w:val="single" w:sz="4" w:space="0" w:color="000000"/>
                  </w:tcBorders>
                  <w:vAlign w:val="center"/>
                </w:tcPr>
                <w:p w14:paraId="6E39785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Interval</w:t>
                  </w:r>
                </w:p>
              </w:tc>
              <w:tc>
                <w:tcPr>
                  <w:tcW w:w="1276" w:type="dxa"/>
                  <w:tcBorders>
                    <w:top w:val="single" w:sz="4" w:space="0" w:color="000000"/>
                    <w:left w:val="single" w:sz="4" w:space="0" w:color="000000"/>
                    <w:bottom w:val="single" w:sz="4" w:space="0" w:color="000000"/>
                  </w:tcBorders>
                  <w:shd w:val="clear" w:color="auto" w:fill="auto"/>
                  <w:vAlign w:val="center"/>
                </w:tcPr>
                <w:p w14:paraId="2DCB7B6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Rented area</w:t>
                  </w:r>
                </w:p>
                <w:p w14:paraId="7249DC62"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(M2)</w:t>
                  </w:r>
                </w:p>
              </w:tc>
              <w:tc>
                <w:tcPr>
                  <w:tcW w:w="1276" w:type="dxa"/>
                  <w:tcBorders>
                    <w:top w:val="single" w:sz="4" w:space="0" w:color="000000"/>
                    <w:left w:val="single" w:sz="4" w:space="0" w:color="000000"/>
                    <w:bottom w:val="single" w:sz="4" w:space="0" w:color="000000"/>
                  </w:tcBorders>
                  <w:shd w:val="clear" w:color="auto" w:fill="auto"/>
                  <w:vAlign w:val="center"/>
                </w:tcPr>
                <w:p w14:paraId="16987DC3"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Fee Rate (New Taiwan Dollars/M²)</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D5384"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Progressive Difference (New Taiwan Dollars)</w:t>
                  </w:r>
                </w:p>
              </w:tc>
            </w:tr>
            <w:tr w:rsidR="002C62E1" w:rsidRPr="002C62E1" w14:paraId="2166D830" w14:textId="77777777" w:rsidTr="004535A1">
              <w:trPr>
                <w:trHeight w:val="499"/>
              </w:trPr>
              <w:tc>
                <w:tcPr>
                  <w:tcW w:w="855" w:type="dxa"/>
                  <w:tcBorders>
                    <w:top w:val="single" w:sz="4" w:space="0" w:color="000000"/>
                    <w:left w:val="single" w:sz="4" w:space="0" w:color="000000"/>
                    <w:bottom w:val="single" w:sz="4" w:space="0" w:color="000000"/>
                  </w:tcBorders>
                  <w:vAlign w:val="center"/>
                </w:tcPr>
                <w:p w14:paraId="45AE693F"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1</w:t>
                  </w:r>
                </w:p>
              </w:tc>
              <w:tc>
                <w:tcPr>
                  <w:tcW w:w="1276" w:type="dxa"/>
                  <w:tcBorders>
                    <w:top w:val="single" w:sz="4" w:space="0" w:color="000000"/>
                    <w:left w:val="single" w:sz="4" w:space="0" w:color="000000"/>
                    <w:bottom w:val="single" w:sz="4" w:space="0" w:color="000000"/>
                  </w:tcBorders>
                  <w:shd w:val="clear" w:color="auto" w:fill="auto"/>
                  <w:vAlign w:val="center"/>
                </w:tcPr>
                <w:p w14:paraId="4F08690E"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50 or Less</w:t>
                  </w:r>
                </w:p>
              </w:tc>
              <w:tc>
                <w:tcPr>
                  <w:tcW w:w="1276" w:type="dxa"/>
                  <w:tcBorders>
                    <w:top w:val="single" w:sz="4" w:space="0" w:color="000000"/>
                    <w:left w:val="single" w:sz="4" w:space="0" w:color="000000"/>
                    <w:bottom w:val="single" w:sz="4" w:space="0" w:color="000000"/>
                  </w:tcBorders>
                  <w:shd w:val="clear" w:color="auto" w:fill="auto"/>
                  <w:vAlign w:val="center"/>
                </w:tcPr>
                <w:p w14:paraId="10B32FC1" w14:textId="77777777" w:rsidR="00B935FB" w:rsidRPr="002C62E1" w:rsidRDefault="00B935FB" w:rsidP="004535A1">
                  <w:pPr>
                    <w:jc w:val="center"/>
                    <w:rPr>
                      <w:rFonts w:ascii="Cagliostro" w:eastAsia="微軟正黑體" w:hAnsi="Cagliostro" w:cstheme="minorHAnsi"/>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C7A5"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4,500</w:t>
                  </w:r>
                </w:p>
              </w:tc>
            </w:tr>
            <w:tr w:rsidR="002C62E1" w:rsidRPr="002C62E1" w14:paraId="27B3E09C" w14:textId="77777777" w:rsidTr="004535A1">
              <w:trPr>
                <w:trHeight w:val="939"/>
              </w:trPr>
              <w:tc>
                <w:tcPr>
                  <w:tcW w:w="855" w:type="dxa"/>
                  <w:tcBorders>
                    <w:top w:val="single" w:sz="4" w:space="0" w:color="000000"/>
                    <w:left w:val="single" w:sz="4" w:space="0" w:color="000000"/>
                    <w:bottom w:val="single" w:sz="4" w:space="0" w:color="000000"/>
                  </w:tcBorders>
                  <w:vAlign w:val="center"/>
                </w:tcPr>
                <w:p w14:paraId="01807BB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w:t>
                  </w:r>
                </w:p>
              </w:tc>
              <w:tc>
                <w:tcPr>
                  <w:tcW w:w="1276" w:type="dxa"/>
                  <w:tcBorders>
                    <w:top w:val="single" w:sz="4" w:space="0" w:color="000000"/>
                    <w:left w:val="single" w:sz="4" w:space="0" w:color="000000"/>
                    <w:bottom w:val="single" w:sz="4" w:space="0" w:color="000000"/>
                  </w:tcBorders>
                  <w:shd w:val="clear" w:color="auto" w:fill="auto"/>
                  <w:vAlign w:val="center"/>
                </w:tcPr>
                <w:p w14:paraId="3916B98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More than 50 but less than 100</w:t>
                  </w:r>
                </w:p>
              </w:tc>
              <w:tc>
                <w:tcPr>
                  <w:tcW w:w="1276" w:type="dxa"/>
                  <w:tcBorders>
                    <w:top w:val="single" w:sz="4" w:space="0" w:color="000000"/>
                    <w:left w:val="single" w:sz="4" w:space="0" w:color="000000"/>
                    <w:bottom w:val="single" w:sz="4" w:space="0" w:color="000000"/>
                  </w:tcBorders>
                  <w:shd w:val="clear" w:color="auto" w:fill="auto"/>
                  <w:vAlign w:val="center"/>
                </w:tcPr>
                <w:p w14:paraId="37D843AA"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8AAF8"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4,750</w:t>
                  </w:r>
                </w:p>
              </w:tc>
            </w:tr>
            <w:tr w:rsidR="002C62E1" w:rsidRPr="002C62E1" w14:paraId="10707947" w14:textId="77777777" w:rsidTr="004535A1">
              <w:trPr>
                <w:trHeight w:val="555"/>
              </w:trPr>
              <w:tc>
                <w:tcPr>
                  <w:tcW w:w="855" w:type="dxa"/>
                  <w:tcBorders>
                    <w:top w:val="single" w:sz="4" w:space="0" w:color="000000"/>
                    <w:left w:val="single" w:sz="4" w:space="0" w:color="000000"/>
                    <w:bottom w:val="single" w:sz="4" w:space="0" w:color="000000"/>
                  </w:tcBorders>
                  <w:vAlign w:val="center"/>
                </w:tcPr>
                <w:p w14:paraId="3ABC8588"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3</w:t>
                  </w:r>
                </w:p>
              </w:tc>
              <w:tc>
                <w:tcPr>
                  <w:tcW w:w="1276" w:type="dxa"/>
                  <w:tcBorders>
                    <w:top w:val="single" w:sz="4" w:space="0" w:color="000000"/>
                    <w:left w:val="single" w:sz="4" w:space="0" w:color="000000"/>
                    <w:bottom w:val="single" w:sz="4" w:space="0" w:color="000000"/>
                  </w:tcBorders>
                  <w:shd w:val="clear" w:color="auto" w:fill="auto"/>
                  <w:vAlign w:val="center"/>
                </w:tcPr>
                <w:p w14:paraId="6D5B8978" w14:textId="46AACD56"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 xml:space="preserve">More than 100 </w:t>
                  </w:r>
                </w:p>
              </w:tc>
              <w:tc>
                <w:tcPr>
                  <w:tcW w:w="1276" w:type="dxa"/>
                  <w:tcBorders>
                    <w:top w:val="single" w:sz="4" w:space="0" w:color="000000"/>
                    <w:left w:val="single" w:sz="4" w:space="0" w:color="000000"/>
                    <w:bottom w:val="single" w:sz="4" w:space="0" w:color="000000"/>
                  </w:tcBorders>
                  <w:shd w:val="clear" w:color="auto" w:fill="auto"/>
                  <w:vAlign w:val="center"/>
                </w:tcPr>
                <w:p w14:paraId="6BB5C35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6</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3DF76" w14:textId="77777777" w:rsidR="00B935FB" w:rsidRPr="002C62E1" w:rsidRDefault="00B935FB" w:rsidP="004535A1">
                  <w:pPr>
                    <w:jc w:val="center"/>
                    <w:rPr>
                      <w:rFonts w:ascii="Cagliostro" w:eastAsia="微軟正黑體" w:hAnsi="Cagliostro" w:cstheme="minorHAnsi"/>
                      <w:sz w:val="22"/>
                      <w:szCs w:val="22"/>
                    </w:rPr>
                  </w:pPr>
                </w:p>
              </w:tc>
            </w:tr>
          </w:tbl>
          <w:p w14:paraId="45E9503D" w14:textId="77777777" w:rsidR="00B935FB" w:rsidRPr="002C62E1" w:rsidRDefault="00B935FB" w:rsidP="004535A1">
            <w:pPr>
              <w:rPr>
                <w:rFonts w:ascii="Cagliostro" w:eastAsia="微軟正黑體" w:hAnsi="Cagliostro" w:cstheme="minorHAnsi"/>
                <w:sz w:val="22"/>
                <w:szCs w:val="22"/>
              </w:rPr>
            </w:pPr>
          </w:p>
        </w:tc>
      </w:tr>
      <w:tr w:rsidR="002C62E1" w:rsidRPr="002C62E1" w14:paraId="0BBF7E83" w14:textId="77777777" w:rsidTr="00A36BA5">
        <w:trPr>
          <w:trHeight w:val="4245"/>
        </w:trPr>
        <w:tc>
          <w:tcPr>
            <w:tcW w:w="1696" w:type="dxa"/>
            <w:tcBorders>
              <w:top w:val="single" w:sz="4" w:space="0" w:color="000000"/>
              <w:left w:val="single" w:sz="4" w:space="0" w:color="000000"/>
              <w:bottom w:val="single" w:sz="4" w:space="0" w:color="000000"/>
            </w:tcBorders>
            <w:shd w:val="clear" w:color="auto" w:fill="auto"/>
            <w:vAlign w:val="center"/>
          </w:tcPr>
          <w:p w14:paraId="0C5F4C42"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Industry and Commerce Service/ Research Institutes/ Incubation Center/ Foundation</w:t>
            </w:r>
          </w:p>
        </w:tc>
        <w:tc>
          <w:tcPr>
            <w:tcW w:w="2552" w:type="dxa"/>
            <w:tcBorders>
              <w:top w:val="single" w:sz="4" w:space="0" w:color="000000"/>
              <w:left w:val="single" w:sz="4" w:space="0" w:color="000000"/>
              <w:bottom w:val="single" w:sz="4" w:space="0" w:color="000000"/>
            </w:tcBorders>
            <w:shd w:val="clear" w:color="auto" w:fill="auto"/>
            <w:vAlign w:val="center"/>
          </w:tcPr>
          <w:p w14:paraId="3EFD3BB2"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Use of Progressive Calculation by</w:t>
            </w:r>
          </w:p>
          <w:p w14:paraId="13E7EC9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Interval Based on the Rented Area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24B8532C" w14:textId="160ABF09" w:rsidR="00B935FB" w:rsidRPr="002C62E1" w:rsidRDefault="00B935FB" w:rsidP="004535A1">
            <w:pPr>
              <w:rPr>
                <w:rFonts w:ascii="Cagliostro" w:eastAsia="微軟正黑體" w:hAnsi="Cagliostro" w:cstheme="minorHAnsi"/>
                <w:sz w:val="22"/>
                <w:szCs w:val="22"/>
              </w:rPr>
            </w:pPr>
            <w:r w:rsidRPr="002C62E1">
              <w:rPr>
                <w:rFonts w:ascii="Cagliostro" w:eastAsia="微軟正黑體" w:hAnsi="Cagliostro" w:cstheme="minorHAnsi"/>
                <w:sz w:val="22"/>
                <w:szCs w:val="22"/>
              </w:rPr>
              <w:t>Minimum Charge NT$ 4,500/Month</w:t>
            </w:r>
          </w:p>
          <w:tbl>
            <w:tblPr>
              <w:tblW w:w="5185" w:type="dxa"/>
              <w:tblLayout w:type="fixed"/>
              <w:tblCellMar>
                <w:left w:w="57" w:type="dxa"/>
                <w:right w:w="57" w:type="dxa"/>
              </w:tblCellMar>
              <w:tblLook w:val="0000" w:firstRow="0" w:lastRow="0" w:firstColumn="0" w:lastColumn="0" w:noHBand="0" w:noVBand="0"/>
            </w:tblPr>
            <w:tblGrid>
              <w:gridCol w:w="932"/>
              <w:gridCol w:w="1276"/>
              <w:gridCol w:w="1276"/>
              <w:gridCol w:w="1701"/>
            </w:tblGrid>
            <w:tr w:rsidR="002C62E1" w:rsidRPr="002C62E1" w14:paraId="4FBB309C" w14:textId="77777777" w:rsidTr="005E321F">
              <w:tc>
                <w:tcPr>
                  <w:tcW w:w="932" w:type="dxa"/>
                  <w:tcBorders>
                    <w:top w:val="single" w:sz="4" w:space="0" w:color="000000"/>
                    <w:left w:val="single" w:sz="4" w:space="0" w:color="000000"/>
                    <w:bottom w:val="single" w:sz="4" w:space="0" w:color="000000"/>
                  </w:tcBorders>
                  <w:vAlign w:val="center"/>
                </w:tcPr>
                <w:p w14:paraId="4E5B86F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Interval</w:t>
                  </w:r>
                </w:p>
              </w:tc>
              <w:tc>
                <w:tcPr>
                  <w:tcW w:w="1276" w:type="dxa"/>
                  <w:tcBorders>
                    <w:top w:val="single" w:sz="4" w:space="0" w:color="000000"/>
                    <w:left w:val="single" w:sz="4" w:space="0" w:color="000000"/>
                    <w:bottom w:val="single" w:sz="4" w:space="0" w:color="000000"/>
                  </w:tcBorders>
                  <w:shd w:val="clear" w:color="auto" w:fill="auto"/>
                  <w:vAlign w:val="center"/>
                </w:tcPr>
                <w:p w14:paraId="2856871B"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Rented area</w:t>
                  </w:r>
                </w:p>
                <w:p w14:paraId="1A89DF91"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(M2)</w:t>
                  </w:r>
                </w:p>
              </w:tc>
              <w:tc>
                <w:tcPr>
                  <w:tcW w:w="1276" w:type="dxa"/>
                  <w:tcBorders>
                    <w:top w:val="single" w:sz="4" w:space="0" w:color="000000"/>
                    <w:left w:val="single" w:sz="4" w:space="0" w:color="000000"/>
                    <w:bottom w:val="single" w:sz="4" w:space="0" w:color="000000"/>
                  </w:tcBorders>
                  <w:shd w:val="clear" w:color="auto" w:fill="auto"/>
                  <w:vAlign w:val="center"/>
                </w:tcPr>
                <w:p w14:paraId="36527F7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Fee Rate (New Taiwan Dollars/M²)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0BE24"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Progressive Difference (New Taiwan Dollars)</w:t>
                  </w:r>
                </w:p>
              </w:tc>
            </w:tr>
            <w:tr w:rsidR="002C62E1" w:rsidRPr="002C62E1" w14:paraId="12D362CB" w14:textId="77777777" w:rsidTr="005E321F">
              <w:trPr>
                <w:trHeight w:val="373"/>
              </w:trPr>
              <w:tc>
                <w:tcPr>
                  <w:tcW w:w="932" w:type="dxa"/>
                  <w:tcBorders>
                    <w:top w:val="single" w:sz="4" w:space="0" w:color="000000"/>
                    <w:left w:val="single" w:sz="4" w:space="0" w:color="000000"/>
                    <w:bottom w:val="single" w:sz="4" w:space="0" w:color="000000"/>
                  </w:tcBorders>
                  <w:vAlign w:val="center"/>
                </w:tcPr>
                <w:p w14:paraId="5B44C017"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1</w:t>
                  </w:r>
                </w:p>
              </w:tc>
              <w:tc>
                <w:tcPr>
                  <w:tcW w:w="1276" w:type="dxa"/>
                  <w:tcBorders>
                    <w:top w:val="single" w:sz="4" w:space="0" w:color="000000"/>
                    <w:left w:val="single" w:sz="4" w:space="0" w:color="000000"/>
                    <w:bottom w:val="single" w:sz="4" w:space="0" w:color="000000"/>
                  </w:tcBorders>
                  <w:shd w:val="clear" w:color="auto" w:fill="auto"/>
                  <w:vAlign w:val="center"/>
                </w:tcPr>
                <w:p w14:paraId="778A1003"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300 or Less</w:t>
                  </w:r>
                </w:p>
              </w:tc>
              <w:tc>
                <w:tcPr>
                  <w:tcW w:w="1276" w:type="dxa"/>
                  <w:tcBorders>
                    <w:top w:val="single" w:sz="4" w:space="0" w:color="000000"/>
                    <w:left w:val="single" w:sz="4" w:space="0" w:color="000000"/>
                    <w:bottom w:val="single" w:sz="4" w:space="0" w:color="000000"/>
                  </w:tcBorders>
                  <w:shd w:val="clear" w:color="auto" w:fill="auto"/>
                  <w:vAlign w:val="center"/>
                </w:tcPr>
                <w:p w14:paraId="0695453E" w14:textId="77777777" w:rsidR="00B935FB" w:rsidRPr="002C62E1" w:rsidRDefault="00B935FB" w:rsidP="004535A1">
                  <w:pPr>
                    <w:jc w:val="center"/>
                    <w:rPr>
                      <w:rFonts w:ascii="Cagliostro" w:eastAsia="微軟正黑體" w:hAnsi="Cagliostro"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E22A2"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4,500</w:t>
                  </w:r>
                </w:p>
              </w:tc>
            </w:tr>
            <w:tr w:rsidR="002C62E1" w:rsidRPr="002C62E1" w14:paraId="371F27B7" w14:textId="77777777" w:rsidTr="005E321F">
              <w:trPr>
                <w:trHeight w:val="677"/>
              </w:trPr>
              <w:tc>
                <w:tcPr>
                  <w:tcW w:w="932" w:type="dxa"/>
                  <w:tcBorders>
                    <w:top w:val="single" w:sz="4" w:space="0" w:color="000000"/>
                    <w:left w:val="single" w:sz="4" w:space="0" w:color="000000"/>
                    <w:bottom w:val="single" w:sz="4" w:space="0" w:color="000000"/>
                  </w:tcBorders>
                  <w:vAlign w:val="center"/>
                </w:tcPr>
                <w:p w14:paraId="5281B33A"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w:t>
                  </w:r>
                </w:p>
              </w:tc>
              <w:tc>
                <w:tcPr>
                  <w:tcW w:w="1276" w:type="dxa"/>
                  <w:tcBorders>
                    <w:top w:val="single" w:sz="4" w:space="0" w:color="000000"/>
                    <w:left w:val="single" w:sz="4" w:space="0" w:color="000000"/>
                    <w:bottom w:val="single" w:sz="4" w:space="0" w:color="000000"/>
                  </w:tcBorders>
                  <w:shd w:val="clear" w:color="auto" w:fill="auto"/>
                  <w:vAlign w:val="center"/>
                </w:tcPr>
                <w:p w14:paraId="54C59BB9"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 xml:space="preserve">More than 300 but less than 1,000 </w:t>
                  </w:r>
                </w:p>
              </w:tc>
              <w:tc>
                <w:tcPr>
                  <w:tcW w:w="1276" w:type="dxa"/>
                  <w:tcBorders>
                    <w:top w:val="single" w:sz="4" w:space="0" w:color="000000"/>
                    <w:left w:val="single" w:sz="4" w:space="0" w:color="000000"/>
                    <w:bottom w:val="single" w:sz="4" w:space="0" w:color="000000"/>
                  </w:tcBorders>
                  <w:shd w:val="clear" w:color="auto" w:fill="auto"/>
                  <w:vAlign w:val="center"/>
                </w:tcPr>
                <w:p w14:paraId="3BF3F860"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2.25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C517F"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6,075</w:t>
                  </w:r>
                </w:p>
              </w:tc>
            </w:tr>
            <w:tr w:rsidR="002C62E1" w:rsidRPr="002C62E1" w14:paraId="59F2B78C" w14:textId="77777777" w:rsidTr="005E321F">
              <w:trPr>
                <w:trHeight w:val="1016"/>
              </w:trPr>
              <w:tc>
                <w:tcPr>
                  <w:tcW w:w="932" w:type="dxa"/>
                  <w:tcBorders>
                    <w:top w:val="single" w:sz="4" w:space="0" w:color="000000"/>
                    <w:left w:val="single" w:sz="4" w:space="0" w:color="000000"/>
                    <w:bottom w:val="single" w:sz="4" w:space="0" w:color="000000"/>
                  </w:tcBorders>
                  <w:vAlign w:val="center"/>
                </w:tcPr>
                <w:p w14:paraId="41436242"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3</w:t>
                  </w:r>
                </w:p>
              </w:tc>
              <w:tc>
                <w:tcPr>
                  <w:tcW w:w="1276" w:type="dxa"/>
                  <w:tcBorders>
                    <w:top w:val="single" w:sz="4" w:space="0" w:color="000000"/>
                    <w:left w:val="single" w:sz="4" w:space="0" w:color="000000"/>
                    <w:bottom w:val="single" w:sz="4" w:space="0" w:color="000000"/>
                  </w:tcBorders>
                  <w:shd w:val="clear" w:color="auto" w:fill="auto"/>
                  <w:vAlign w:val="center"/>
                </w:tcPr>
                <w:p w14:paraId="511D6274"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More than 1,000 but less than 2,000</w:t>
                  </w:r>
                </w:p>
              </w:tc>
              <w:tc>
                <w:tcPr>
                  <w:tcW w:w="1276" w:type="dxa"/>
                  <w:tcBorders>
                    <w:top w:val="single" w:sz="4" w:space="0" w:color="000000"/>
                    <w:left w:val="single" w:sz="4" w:space="0" w:color="000000"/>
                    <w:bottom w:val="single" w:sz="4" w:space="0" w:color="000000"/>
                  </w:tcBorders>
                  <w:shd w:val="clear" w:color="auto" w:fill="auto"/>
                  <w:vAlign w:val="center"/>
                </w:tcPr>
                <w:p w14:paraId="6F56EC3B"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18971"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8,575</w:t>
                  </w:r>
                </w:p>
              </w:tc>
            </w:tr>
            <w:tr w:rsidR="002C62E1" w:rsidRPr="002C62E1" w14:paraId="5CCEE86E" w14:textId="77777777" w:rsidTr="005E321F">
              <w:tc>
                <w:tcPr>
                  <w:tcW w:w="932" w:type="dxa"/>
                  <w:tcBorders>
                    <w:top w:val="single" w:sz="4" w:space="0" w:color="000000"/>
                    <w:left w:val="single" w:sz="4" w:space="0" w:color="000000"/>
                    <w:bottom w:val="single" w:sz="4" w:space="0" w:color="000000"/>
                  </w:tcBorders>
                  <w:vAlign w:val="center"/>
                </w:tcPr>
                <w:p w14:paraId="4F786DAB"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w:t>
                  </w:r>
                </w:p>
              </w:tc>
              <w:tc>
                <w:tcPr>
                  <w:tcW w:w="1276" w:type="dxa"/>
                  <w:tcBorders>
                    <w:top w:val="single" w:sz="4" w:space="0" w:color="000000"/>
                    <w:left w:val="single" w:sz="4" w:space="0" w:color="000000"/>
                    <w:bottom w:val="single" w:sz="4" w:space="0" w:color="000000"/>
                  </w:tcBorders>
                  <w:shd w:val="clear" w:color="auto" w:fill="auto"/>
                  <w:vAlign w:val="center"/>
                </w:tcPr>
                <w:p w14:paraId="5A1423F8"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More than 2,000</w:t>
                  </w:r>
                </w:p>
              </w:tc>
              <w:tc>
                <w:tcPr>
                  <w:tcW w:w="1276" w:type="dxa"/>
                  <w:tcBorders>
                    <w:top w:val="single" w:sz="4" w:space="0" w:color="000000"/>
                    <w:left w:val="single" w:sz="4" w:space="0" w:color="000000"/>
                    <w:bottom w:val="single" w:sz="4" w:space="0" w:color="000000"/>
                  </w:tcBorders>
                  <w:shd w:val="clear" w:color="auto" w:fill="auto"/>
                  <w:vAlign w:val="center"/>
                </w:tcPr>
                <w:p w14:paraId="51B4BBAE"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2.75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0F335" w14:textId="77777777" w:rsidR="00B935FB" w:rsidRPr="002C62E1" w:rsidRDefault="00B935FB" w:rsidP="004535A1">
                  <w:pPr>
                    <w:jc w:val="center"/>
                    <w:rPr>
                      <w:rFonts w:ascii="Cagliostro" w:eastAsia="微軟正黑體" w:hAnsi="Cagliostro" w:cstheme="minorHAnsi"/>
                      <w:sz w:val="22"/>
                      <w:szCs w:val="22"/>
                    </w:rPr>
                  </w:pPr>
                </w:p>
              </w:tc>
            </w:tr>
          </w:tbl>
          <w:p w14:paraId="08B7BC4D" w14:textId="77777777" w:rsidR="00B935FB" w:rsidRPr="002C62E1" w:rsidRDefault="00B935FB" w:rsidP="004535A1">
            <w:pPr>
              <w:rPr>
                <w:rFonts w:ascii="Cagliostro" w:eastAsia="微軟正黑體" w:hAnsi="Cagliostro" w:cstheme="minorHAnsi"/>
                <w:sz w:val="22"/>
                <w:szCs w:val="22"/>
              </w:rPr>
            </w:pPr>
          </w:p>
        </w:tc>
      </w:tr>
      <w:tr w:rsidR="00B935FB" w:rsidRPr="002C62E1" w14:paraId="66BAE438" w14:textId="77777777" w:rsidTr="006F1574">
        <w:trPr>
          <w:trHeight w:val="4255"/>
        </w:trPr>
        <w:tc>
          <w:tcPr>
            <w:tcW w:w="1696" w:type="dxa"/>
            <w:tcBorders>
              <w:top w:val="single" w:sz="4" w:space="0" w:color="000000"/>
              <w:left w:val="single" w:sz="4" w:space="0" w:color="000000"/>
              <w:bottom w:val="single" w:sz="4" w:space="0" w:color="000000"/>
            </w:tcBorders>
            <w:shd w:val="clear" w:color="auto" w:fill="auto"/>
            <w:vAlign w:val="center"/>
          </w:tcPr>
          <w:p w14:paraId="4C652555"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Service Industry of Livelihood/ Other Organization</w:t>
            </w:r>
          </w:p>
        </w:tc>
        <w:tc>
          <w:tcPr>
            <w:tcW w:w="2552" w:type="dxa"/>
            <w:tcBorders>
              <w:top w:val="single" w:sz="4" w:space="0" w:color="000000"/>
              <w:left w:val="single" w:sz="4" w:space="0" w:color="000000"/>
              <w:bottom w:val="single" w:sz="4" w:space="0" w:color="000000"/>
            </w:tcBorders>
            <w:shd w:val="clear" w:color="auto" w:fill="auto"/>
            <w:vAlign w:val="center"/>
          </w:tcPr>
          <w:p w14:paraId="5F55FB21"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Use of Progressive Calculation by Interval Based on the Rented Area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3025F6B6" w14:textId="2FDB2F27" w:rsidR="00B935FB" w:rsidRPr="002C62E1" w:rsidRDefault="00B935FB" w:rsidP="004535A1">
            <w:pPr>
              <w:rPr>
                <w:rFonts w:ascii="Cagliostro" w:eastAsia="微軟正黑體" w:hAnsi="Cagliostro" w:cstheme="minorHAnsi"/>
                <w:sz w:val="22"/>
                <w:szCs w:val="22"/>
              </w:rPr>
            </w:pPr>
            <w:r w:rsidRPr="002C62E1">
              <w:rPr>
                <w:rFonts w:ascii="Cagliostro" w:eastAsia="微軟正黑體" w:hAnsi="Cagliostro" w:cstheme="minorHAnsi"/>
                <w:sz w:val="22"/>
                <w:szCs w:val="22"/>
              </w:rPr>
              <w:t xml:space="preserve">Minimum Charge NT$2,000/Month </w:t>
            </w:r>
          </w:p>
          <w:tbl>
            <w:tblPr>
              <w:tblW w:w="5185" w:type="dxa"/>
              <w:tblLayout w:type="fixed"/>
              <w:tblCellMar>
                <w:left w:w="57" w:type="dxa"/>
                <w:right w:w="57" w:type="dxa"/>
              </w:tblCellMar>
              <w:tblLook w:val="0000" w:firstRow="0" w:lastRow="0" w:firstColumn="0" w:lastColumn="0" w:noHBand="0" w:noVBand="0"/>
            </w:tblPr>
            <w:tblGrid>
              <w:gridCol w:w="802"/>
              <w:gridCol w:w="1406"/>
              <w:gridCol w:w="1276"/>
              <w:gridCol w:w="1701"/>
            </w:tblGrid>
            <w:tr w:rsidR="002C62E1" w:rsidRPr="002C62E1" w14:paraId="2EC15C5A" w14:textId="77777777" w:rsidTr="007E121A">
              <w:tc>
                <w:tcPr>
                  <w:tcW w:w="802" w:type="dxa"/>
                  <w:tcBorders>
                    <w:top w:val="single" w:sz="4" w:space="0" w:color="000000"/>
                    <w:left w:val="single" w:sz="4" w:space="0" w:color="000000"/>
                    <w:bottom w:val="single" w:sz="4" w:space="0" w:color="000000"/>
                  </w:tcBorders>
                  <w:vAlign w:val="center"/>
                </w:tcPr>
                <w:p w14:paraId="3B768022"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Interval</w:t>
                  </w:r>
                </w:p>
              </w:tc>
              <w:tc>
                <w:tcPr>
                  <w:tcW w:w="1406" w:type="dxa"/>
                  <w:tcBorders>
                    <w:top w:val="single" w:sz="4" w:space="0" w:color="000000"/>
                    <w:left w:val="single" w:sz="4" w:space="0" w:color="000000"/>
                    <w:bottom w:val="single" w:sz="4" w:space="0" w:color="000000"/>
                  </w:tcBorders>
                  <w:shd w:val="clear" w:color="auto" w:fill="auto"/>
                  <w:vAlign w:val="center"/>
                </w:tcPr>
                <w:p w14:paraId="4C1E596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Rented area</w:t>
                  </w:r>
                </w:p>
                <w:p w14:paraId="43598E41"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(M2)</w:t>
                  </w:r>
                </w:p>
              </w:tc>
              <w:tc>
                <w:tcPr>
                  <w:tcW w:w="1276" w:type="dxa"/>
                  <w:tcBorders>
                    <w:top w:val="single" w:sz="4" w:space="0" w:color="000000"/>
                    <w:left w:val="single" w:sz="4" w:space="0" w:color="000000"/>
                    <w:bottom w:val="single" w:sz="4" w:space="0" w:color="000000"/>
                  </w:tcBorders>
                  <w:shd w:val="clear" w:color="auto" w:fill="auto"/>
                  <w:vAlign w:val="center"/>
                </w:tcPr>
                <w:p w14:paraId="5DB31D6B"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Fee Rate (New Taiwan Dollars/M²)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C687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Progressive Difference (New Taiwan Dollars)</w:t>
                  </w:r>
                </w:p>
              </w:tc>
            </w:tr>
            <w:tr w:rsidR="002C62E1" w:rsidRPr="002C62E1" w14:paraId="638F2660" w14:textId="77777777" w:rsidTr="007E121A">
              <w:trPr>
                <w:trHeight w:val="500"/>
              </w:trPr>
              <w:tc>
                <w:tcPr>
                  <w:tcW w:w="802" w:type="dxa"/>
                  <w:tcBorders>
                    <w:top w:val="single" w:sz="4" w:space="0" w:color="000000"/>
                    <w:left w:val="single" w:sz="4" w:space="0" w:color="000000"/>
                    <w:bottom w:val="single" w:sz="4" w:space="0" w:color="000000"/>
                  </w:tcBorders>
                  <w:vAlign w:val="center"/>
                </w:tcPr>
                <w:p w14:paraId="4B00B379"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1</w:t>
                  </w:r>
                </w:p>
              </w:tc>
              <w:tc>
                <w:tcPr>
                  <w:tcW w:w="1406" w:type="dxa"/>
                  <w:tcBorders>
                    <w:top w:val="single" w:sz="4" w:space="0" w:color="000000"/>
                    <w:left w:val="single" w:sz="4" w:space="0" w:color="000000"/>
                    <w:bottom w:val="single" w:sz="4" w:space="0" w:color="000000"/>
                  </w:tcBorders>
                  <w:shd w:val="clear" w:color="auto" w:fill="auto"/>
                  <w:vAlign w:val="center"/>
                </w:tcPr>
                <w:p w14:paraId="74F20D6F"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100 or Less</w:t>
                  </w:r>
                </w:p>
              </w:tc>
              <w:tc>
                <w:tcPr>
                  <w:tcW w:w="1276" w:type="dxa"/>
                  <w:tcBorders>
                    <w:top w:val="single" w:sz="4" w:space="0" w:color="000000"/>
                    <w:left w:val="single" w:sz="4" w:space="0" w:color="000000"/>
                    <w:bottom w:val="single" w:sz="4" w:space="0" w:color="000000"/>
                  </w:tcBorders>
                  <w:shd w:val="clear" w:color="auto" w:fill="auto"/>
                  <w:vAlign w:val="center"/>
                </w:tcPr>
                <w:p w14:paraId="04FA4B6C" w14:textId="77777777" w:rsidR="00B935FB" w:rsidRPr="002C62E1" w:rsidRDefault="00B935FB" w:rsidP="004535A1">
                  <w:pPr>
                    <w:jc w:val="center"/>
                    <w:rPr>
                      <w:rFonts w:ascii="Cagliostro" w:eastAsia="微軟正黑體" w:hAnsi="Cagliostro" w:cstheme="minorHAnsi"/>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C1786"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2,000</w:t>
                  </w:r>
                </w:p>
              </w:tc>
            </w:tr>
            <w:tr w:rsidR="002C62E1" w:rsidRPr="002C62E1" w14:paraId="5D0E1E04" w14:textId="77777777" w:rsidTr="007E121A">
              <w:trPr>
                <w:trHeight w:val="851"/>
              </w:trPr>
              <w:tc>
                <w:tcPr>
                  <w:tcW w:w="802" w:type="dxa"/>
                  <w:tcBorders>
                    <w:top w:val="single" w:sz="4" w:space="0" w:color="000000"/>
                    <w:left w:val="single" w:sz="4" w:space="0" w:color="000000"/>
                    <w:bottom w:val="single" w:sz="4" w:space="0" w:color="000000"/>
                  </w:tcBorders>
                  <w:vAlign w:val="center"/>
                </w:tcPr>
                <w:p w14:paraId="05C021A5"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w:t>
                  </w:r>
                </w:p>
              </w:tc>
              <w:tc>
                <w:tcPr>
                  <w:tcW w:w="1406" w:type="dxa"/>
                  <w:tcBorders>
                    <w:top w:val="single" w:sz="4" w:space="0" w:color="000000"/>
                    <w:left w:val="single" w:sz="4" w:space="0" w:color="000000"/>
                    <w:bottom w:val="single" w:sz="4" w:space="0" w:color="000000"/>
                  </w:tcBorders>
                  <w:shd w:val="clear" w:color="auto" w:fill="auto"/>
                  <w:vAlign w:val="center"/>
                </w:tcPr>
                <w:p w14:paraId="36D77894"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 xml:space="preserve">More than 100 but less than 300 </w:t>
                  </w:r>
                </w:p>
              </w:tc>
              <w:tc>
                <w:tcPr>
                  <w:tcW w:w="1276" w:type="dxa"/>
                  <w:tcBorders>
                    <w:top w:val="single" w:sz="4" w:space="0" w:color="000000"/>
                    <w:left w:val="single" w:sz="4" w:space="0" w:color="000000"/>
                    <w:bottom w:val="single" w:sz="4" w:space="0" w:color="000000"/>
                  </w:tcBorders>
                  <w:shd w:val="clear" w:color="auto" w:fill="auto"/>
                  <w:vAlign w:val="center"/>
                </w:tcPr>
                <w:p w14:paraId="0339A41B"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3.5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94738"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2,700</w:t>
                  </w:r>
                </w:p>
              </w:tc>
            </w:tr>
            <w:tr w:rsidR="002C62E1" w:rsidRPr="002C62E1" w14:paraId="12B1B401" w14:textId="77777777" w:rsidTr="007E121A">
              <w:tc>
                <w:tcPr>
                  <w:tcW w:w="802" w:type="dxa"/>
                  <w:tcBorders>
                    <w:top w:val="single" w:sz="4" w:space="0" w:color="000000"/>
                    <w:left w:val="single" w:sz="4" w:space="0" w:color="000000"/>
                    <w:bottom w:val="single" w:sz="4" w:space="0" w:color="000000"/>
                  </w:tcBorders>
                  <w:vAlign w:val="center"/>
                </w:tcPr>
                <w:p w14:paraId="01A254C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3</w:t>
                  </w:r>
                </w:p>
              </w:tc>
              <w:tc>
                <w:tcPr>
                  <w:tcW w:w="1406" w:type="dxa"/>
                  <w:tcBorders>
                    <w:top w:val="single" w:sz="4" w:space="0" w:color="000000"/>
                    <w:left w:val="single" w:sz="4" w:space="0" w:color="000000"/>
                    <w:bottom w:val="single" w:sz="4" w:space="0" w:color="000000"/>
                  </w:tcBorders>
                  <w:shd w:val="clear" w:color="auto" w:fill="auto"/>
                  <w:vAlign w:val="center"/>
                </w:tcPr>
                <w:p w14:paraId="4B9BEBAD"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 xml:space="preserve">More than 300 but less than 1,000 </w:t>
                  </w:r>
                </w:p>
              </w:tc>
              <w:tc>
                <w:tcPr>
                  <w:tcW w:w="1276" w:type="dxa"/>
                  <w:tcBorders>
                    <w:top w:val="single" w:sz="4" w:space="0" w:color="000000"/>
                    <w:left w:val="single" w:sz="4" w:space="0" w:color="000000"/>
                    <w:bottom w:val="single" w:sz="4" w:space="0" w:color="000000"/>
                  </w:tcBorders>
                  <w:shd w:val="clear" w:color="auto" w:fill="auto"/>
                  <w:vAlign w:val="center"/>
                </w:tcPr>
                <w:p w14:paraId="37AD3653"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9D15E"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5,500</w:t>
                  </w:r>
                </w:p>
              </w:tc>
            </w:tr>
            <w:tr w:rsidR="002C62E1" w:rsidRPr="002C62E1" w14:paraId="08C46168" w14:textId="77777777" w:rsidTr="007E121A">
              <w:trPr>
                <w:trHeight w:val="400"/>
              </w:trPr>
              <w:tc>
                <w:tcPr>
                  <w:tcW w:w="802" w:type="dxa"/>
                  <w:tcBorders>
                    <w:top w:val="single" w:sz="4" w:space="0" w:color="000000"/>
                    <w:left w:val="single" w:sz="4" w:space="0" w:color="000000"/>
                    <w:bottom w:val="single" w:sz="4" w:space="0" w:color="000000"/>
                  </w:tcBorders>
                  <w:vAlign w:val="center"/>
                </w:tcPr>
                <w:p w14:paraId="46534E53"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w:t>
                  </w:r>
                </w:p>
              </w:tc>
              <w:tc>
                <w:tcPr>
                  <w:tcW w:w="1406" w:type="dxa"/>
                  <w:tcBorders>
                    <w:top w:val="single" w:sz="4" w:space="0" w:color="000000"/>
                    <w:left w:val="single" w:sz="4" w:space="0" w:color="000000"/>
                    <w:bottom w:val="single" w:sz="4" w:space="0" w:color="000000"/>
                  </w:tcBorders>
                  <w:shd w:val="clear" w:color="auto" w:fill="auto"/>
                  <w:vAlign w:val="center"/>
                </w:tcPr>
                <w:p w14:paraId="04F09654"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More than 1,000</w:t>
                  </w:r>
                </w:p>
              </w:tc>
              <w:tc>
                <w:tcPr>
                  <w:tcW w:w="1276" w:type="dxa"/>
                  <w:tcBorders>
                    <w:top w:val="single" w:sz="4" w:space="0" w:color="000000"/>
                    <w:left w:val="single" w:sz="4" w:space="0" w:color="000000"/>
                    <w:bottom w:val="single" w:sz="4" w:space="0" w:color="000000"/>
                  </w:tcBorders>
                  <w:shd w:val="clear" w:color="auto" w:fill="auto"/>
                  <w:vAlign w:val="center"/>
                </w:tcPr>
                <w:p w14:paraId="1CC3D5A1" w14:textId="77777777" w:rsidR="00B935FB" w:rsidRPr="002C62E1" w:rsidRDefault="00B935FB" w:rsidP="004535A1">
                  <w:pPr>
                    <w:jc w:val="center"/>
                    <w:rPr>
                      <w:rFonts w:ascii="Cagliostro" w:eastAsia="微軟正黑體" w:hAnsi="Cagliostro" w:cstheme="minorHAnsi"/>
                      <w:sz w:val="22"/>
                      <w:szCs w:val="22"/>
                    </w:rPr>
                  </w:pPr>
                  <w:r w:rsidRPr="002C62E1">
                    <w:rPr>
                      <w:rFonts w:ascii="Cagliostro" w:eastAsia="微軟正黑體" w:hAnsi="Cagliostro" w:cstheme="minorHAnsi"/>
                      <w:sz w:val="22"/>
                      <w:szCs w:val="22"/>
                    </w:rPr>
                    <w:t>4.5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75569" w14:textId="77777777" w:rsidR="00B935FB" w:rsidRPr="002C62E1" w:rsidRDefault="00B935FB" w:rsidP="004535A1">
                  <w:pPr>
                    <w:jc w:val="center"/>
                    <w:rPr>
                      <w:rFonts w:ascii="Cagliostro" w:eastAsia="微軟正黑體" w:hAnsi="Cagliostro" w:cstheme="minorHAnsi"/>
                      <w:sz w:val="22"/>
                      <w:szCs w:val="22"/>
                    </w:rPr>
                  </w:pPr>
                </w:p>
              </w:tc>
            </w:tr>
          </w:tbl>
          <w:p w14:paraId="70D99876" w14:textId="77777777" w:rsidR="00B935FB" w:rsidRPr="002C62E1" w:rsidRDefault="00B935FB" w:rsidP="004535A1">
            <w:pPr>
              <w:rPr>
                <w:rFonts w:ascii="Cagliostro" w:eastAsia="微軟正黑體" w:hAnsi="Cagliostro" w:cstheme="minorHAnsi"/>
                <w:sz w:val="22"/>
                <w:szCs w:val="22"/>
              </w:rPr>
            </w:pPr>
          </w:p>
        </w:tc>
      </w:tr>
    </w:tbl>
    <w:p w14:paraId="71215A1B" w14:textId="278AB2D9" w:rsidR="00B935FB" w:rsidRPr="002C62E1" w:rsidRDefault="00B935FB" w:rsidP="003D10BD">
      <w:pPr>
        <w:spacing w:afterLines="50" w:after="120"/>
        <w:rPr>
          <w:rFonts w:ascii="Cagliostro" w:eastAsia="微軟正黑體" w:hAnsi="Cagliostro" w:cstheme="minorHAnsi"/>
        </w:rPr>
      </w:pPr>
    </w:p>
    <w:p w14:paraId="33E0240A" w14:textId="271E8C72" w:rsidR="00A22B22" w:rsidRPr="002C62E1" w:rsidRDefault="00A22B22" w:rsidP="000D5875">
      <w:pPr>
        <w:widowControl/>
        <w:spacing w:afterLines="50" w:after="120"/>
        <w:rPr>
          <w:rFonts w:ascii="Cagliostro" w:eastAsia="微軟正黑體" w:hAnsi="Cagliostro" w:cstheme="minorHAnsi"/>
        </w:rPr>
      </w:pPr>
    </w:p>
    <w:sectPr w:rsidR="00A22B22" w:rsidRPr="002C62E1" w:rsidSect="00B96610">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9EF88" w14:textId="77777777" w:rsidR="00433B2F" w:rsidRDefault="00433B2F" w:rsidP="00B52CCB">
      <w:r>
        <w:separator/>
      </w:r>
    </w:p>
  </w:endnote>
  <w:endnote w:type="continuationSeparator" w:id="0">
    <w:p w14:paraId="16AE77A8" w14:textId="77777777" w:rsidR="00433B2F" w:rsidRDefault="00433B2F" w:rsidP="00B5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gliostro">
    <w:altName w:val="Calibri"/>
    <w:charset w:val="00"/>
    <w:family w:val="auto"/>
    <w:pitch w:val="variable"/>
    <w:sig w:usb0="8000006F" w:usb1="1000004A"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76C38" w14:textId="77777777" w:rsidR="00433B2F" w:rsidRDefault="00433B2F" w:rsidP="00B52CCB">
      <w:r>
        <w:separator/>
      </w:r>
    </w:p>
  </w:footnote>
  <w:footnote w:type="continuationSeparator" w:id="0">
    <w:p w14:paraId="4EAE063A" w14:textId="77777777" w:rsidR="00433B2F" w:rsidRDefault="00433B2F" w:rsidP="00B52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A140D"/>
    <w:multiLevelType w:val="hybridMultilevel"/>
    <w:tmpl w:val="92E28F1E"/>
    <w:lvl w:ilvl="0" w:tplc="625845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610"/>
    <w:rsid w:val="00004446"/>
    <w:rsid w:val="000061D6"/>
    <w:rsid w:val="000140FE"/>
    <w:rsid w:val="0001427D"/>
    <w:rsid w:val="00016545"/>
    <w:rsid w:val="000166F8"/>
    <w:rsid w:val="00042EF2"/>
    <w:rsid w:val="00046C7C"/>
    <w:rsid w:val="00051A2F"/>
    <w:rsid w:val="00063FBD"/>
    <w:rsid w:val="0007221E"/>
    <w:rsid w:val="000951F7"/>
    <w:rsid w:val="000B143F"/>
    <w:rsid w:val="000B22FB"/>
    <w:rsid w:val="000B59BC"/>
    <w:rsid w:val="000C3697"/>
    <w:rsid w:val="000D5875"/>
    <w:rsid w:val="000F7E23"/>
    <w:rsid w:val="00100FB5"/>
    <w:rsid w:val="00101ECC"/>
    <w:rsid w:val="00106075"/>
    <w:rsid w:val="0010622E"/>
    <w:rsid w:val="001069B1"/>
    <w:rsid w:val="001074EA"/>
    <w:rsid w:val="00113CBD"/>
    <w:rsid w:val="001160B1"/>
    <w:rsid w:val="00116C53"/>
    <w:rsid w:val="00122FEF"/>
    <w:rsid w:val="00123255"/>
    <w:rsid w:val="00126A0A"/>
    <w:rsid w:val="00132111"/>
    <w:rsid w:val="00143A4F"/>
    <w:rsid w:val="0014429A"/>
    <w:rsid w:val="00151723"/>
    <w:rsid w:val="001914DA"/>
    <w:rsid w:val="00191E76"/>
    <w:rsid w:val="001962CB"/>
    <w:rsid w:val="001A4B2E"/>
    <w:rsid w:val="001A59B3"/>
    <w:rsid w:val="001B003D"/>
    <w:rsid w:val="001B4911"/>
    <w:rsid w:val="001C0D2D"/>
    <w:rsid w:val="001E75AA"/>
    <w:rsid w:val="001F3EC7"/>
    <w:rsid w:val="002008E6"/>
    <w:rsid w:val="00201CCB"/>
    <w:rsid w:val="00211F6B"/>
    <w:rsid w:val="00220F1B"/>
    <w:rsid w:val="0023009A"/>
    <w:rsid w:val="0025504B"/>
    <w:rsid w:val="002609F2"/>
    <w:rsid w:val="00262932"/>
    <w:rsid w:val="00270C32"/>
    <w:rsid w:val="00272424"/>
    <w:rsid w:val="00290A60"/>
    <w:rsid w:val="00292E7F"/>
    <w:rsid w:val="00295741"/>
    <w:rsid w:val="002B4B63"/>
    <w:rsid w:val="002C2C11"/>
    <w:rsid w:val="002C62E1"/>
    <w:rsid w:val="002E39BA"/>
    <w:rsid w:val="002E5831"/>
    <w:rsid w:val="002E6DDF"/>
    <w:rsid w:val="002F26B3"/>
    <w:rsid w:val="00310BB0"/>
    <w:rsid w:val="00315E6F"/>
    <w:rsid w:val="00315ECB"/>
    <w:rsid w:val="00316D72"/>
    <w:rsid w:val="00317546"/>
    <w:rsid w:val="00320D4A"/>
    <w:rsid w:val="00347C66"/>
    <w:rsid w:val="00374668"/>
    <w:rsid w:val="003833B1"/>
    <w:rsid w:val="00383553"/>
    <w:rsid w:val="00394407"/>
    <w:rsid w:val="003A5AB8"/>
    <w:rsid w:val="003B075C"/>
    <w:rsid w:val="003B0F5C"/>
    <w:rsid w:val="003B739A"/>
    <w:rsid w:val="003D10BD"/>
    <w:rsid w:val="003E1569"/>
    <w:rsid w:val="003F08C8"/>
    <w:rsid w:val="004159C6"/>
    <w:rsid w:val="0041679B"/>
    <w:rsid w:val="00433B2F"/>
    <w:rsid w:val="00450871"/>
    <w:rsid w:val="004530A4"/>
    <w:rsid w:val="004535A1"/>
    <w:rsid w:val="00471FFC"/>
    <w:rsid w:val="00490CF2"/>
    <w:rsid w:val="004941F0"/>
    <w:rsid w:val="004968B4"/>
    <w:rsid w:val="004C323D"/>
    <w:rsid w:val="00512F86"/>
    <w:rsid w:val="00517FF8"/>
    <w:rsid w:val="0052308D"/>
    <w:rsid w:val="005321A2"/>
    <w:rsid w:val="00544E53"/>
    <w:rsid w:val="00544E5C"/>
    <w:rsid w:val="005624F9"/>
    <w:rsid w:val="00567596"/>
    <w:rsid w:val="0057548B"/>
    <w:rsid w:val="005878C3"/>
    <w:rsid w:val="00593101"/>
    <w:rsid w:val="005A0276"/>
    <w:rsid w:val="005A1D6E"/>
    <w:rsid w:val="005A4C7E"/>
    <w:rsid w:val="005A5A47"/>
    <w:rsid w:val="005B4148"/>
    <w:rsid w:val="005C0B9A"/>
    <w:rsid w:val="005C2E71"/>
    <w:rsid w:val="005D3A8D"/>
    <w:rsid w:val="005D6A82"/>
    <w:rsid w:val="005E321F"/>
    <w:rsid w:val="005E502A"/>
    <w:rsid w:val="005E5BB7"/>
    <w:rsid w:val="005E6B4F"/>
    <w:rsid w:val="005E7F4E"/>
    <w:rsid w:val="006019D5"/>
    <w:rsid w:val="006024C6"/>
    <w:rsid w:val="00615586"/>
    <w:rsid w:val="00617F92"/>
    <w:rsid w:val="00630487"/>
    <w:rsid w:val="006624DF"/>
    <w:rsid w:val="00666787"/>
    <w:rsid w:val="00666B84"/>
    <w:rsid w:val="00683CAA"/>
    <w:rsid w:val="00684190"/>
    <w:rsid w:val="006857C7"/>
    <w:rsid w:val="00692B7A"/>
    <w:rsid w:val="006A5A71"/>
    <w:rsid w:val="006B0D9F"/>
    <w:rsid w:val="006E25AE"/>
    <w:rsid w:val="006F1574"/>
    <w:rsid w:val="006F3988"/>
    <w:rsid w:val="007063B7"/>
    <w:rsid w:val="00726AE8"/>
    <w:rsid w:val="00730376"/>
    <w:rsid w:val="00734C15"/>
    <w:rsid w:val="0074736E"/>
    <w:rsid w:val="00754724"/>
    <w:rsid w:val="00762F99"/>
    <w:rsid w:val="00774762"/>
    <w:rsid w:val="007853FF"/>
    <w:rsid w:val="00793682"/>
    <w:rsid w:val="007A1167"/>
    <w:rsid w:val="007A6BEA"/>
    <w:rsid w:val="007C0BE6"/>
    <w:rsid w:val="007C6D22"/>
    <w:rsid w:val="007D0162"/>
    <w:rsid w:val="007E121A"/>
    <w:rsid w:val="007E5999"/>
    <w:rsid w:val="007E69E4"/>
    <w:rsid w:val="007E6FAA"/>
    <w:rsid w:val="007F76B0"/>
    <w:rsid w:val="00814C10"/>
    <w:rsid w:val="008155D1"/>
    <w:rsid w:val="00841A76"/>
    <w:rsid w:val="0084235A"/>
    <w:rsid w:val="00845AD4"/>
    <w:rsid w:val="00845CA1"/>
    <w:rsid w:val="0086211B"/>
    <w:rsid w:val="008836FE"/>
    <w:rsid w:val="008A31A9"/>
    <w:rsid w:val="008C2CB0"/>
    <w:rsid w:val="008D6ECA"/>
    <w:rsid w:val="008E0986"/>
    <w:rsid w:val="008E0B8A"/>
    <w:rsid w:val="008E3E84"/>
    <w:rsid w:val="008F7621"/>
    <w:rsid w:val="00914AE3"/>
    <w:rsid w:val="00920216"/>
    <w:rsid w:val="00925102"/>
    <w:rsid w:val="00930589"/>
    <w:rsid w:val="009602A5"/>
    <w:rsid w:val="009607FA"/>
    <w:rsid w:val="009677FB"/>
    <w:rsid w:val="0097258D"/>
    <w:rsid w:val="00974202"/>
    <w:rsid w:val="009846C1"/>
    <w:rsid w:val="0098781B"/>
    <w:rsid w:val="00994F28"/>
    <w:rsid w:val="009D273F"/>
    <w:rsid w:val="009E21A5"/>
    <w:rsid w:val="009E3796"/>
    <w:rsid w:val="009E5E6A"/>
    <w:rsid w:val="009F6712"/>
    <w:rsid w:val="00A034AF"/>
    <w:rsid w:val="00A11879"/>
    <w:rsid w:val="00A14E3B"/>
    <w:rsid w:val="00A15486"/>
    <w:rsid w:val="00A22B22"/>
    <w:rsid w:val="00A27105"/>
    <w:rsid w:val="00A36BA5"/>
    <w:rsid w:val="00A420A4"/>
    <w:rsid w:val="00A460CD"/>
    <w:rsid w:val="00A4776C"/>
    <w:rsid w:val="00A54B36"/>
    <w:rsid w:val="00A54CA8"/>
    <w:rsid w:val="00A85AC1"/>
    <w:rsid w:val="00AA4A7D"/>
    <w:rsid w:val="00AC4289"/>
    <w:rsid w:val="00AC635C"/>
    <w:rsid w:val="00AD570B"/>
    <w:rsid w:val="00AF721A"/>
    <w:rsid w:val="00AF742B"/>
    <w:rsid w:val="00B021D4"/>
    <w:rsid w:val="00B0437B"/>
    <w:rsid w:val="00B127EB"/>
    <w:rsid w:val="00B264A4"/>
    <w:rsid w:val="00B4071B"/>
    <w:rsid w:val="00B4334A"/>
    <w:rsid w:val="00B52CCB"/>
    <w:rsid w:val="00B54964"/>
    <w:rsid w:val="00B558CA"/>
    <w:rsid w:val="00B622BB"/>
    <w:rsid w:val="00B74160"/>
    <w:rsid w:val="00B75533"/>
    <w:rsid w:val="00B83AA0"/>
    <w:rsid w:val="00B90BFC"/>
    <w:rsid w:val="00B925A2"/>
    <w:rsid w:val="00B92CEE"/>
    <w:rsid w:val="00B935FB"/>
    <w:rsid w:val="00B96610"/>
    <w:rsid w:val="00BB5057"/>
    <w:rsid w:val="00BC1712"/>
    <w:rsid w:val="00C13DA1"/>
    <w:rsid w:val="00C26DE9"/>
    <w:rsid w:val="00C40AC9"/>
    <w:rsid w:val="00C418A8"/>
    <w:rsid w:val="00C45DB3"/>
    <w:rsid w:val="00C557CD"/>
    <w:rsid w:val="00C73BAA"/>
    <w:rsid w:val="00C8119C"/>
    <w:rsid w:val="00C92EFD"/>
    <w:rsid w:val="00C93EAE"/>
    <w:rsid w:val="00CA550C"/>
    <w:rsid w:val="00CB5365"/>
    <w:rsid w:val="00CB64E0"/>
    <w:rsid w:val="00CC000C"/>
    <w:rsid w:val="00CD4432"/>
    <w:rsid w:val="00D14505"/>
    <w:rsid w:val="00D26463"/>
    <w:rsid w:val="00D41483"/>
    <w:rsid w:val="00D70F54"/>
    <w:rsid w:val="00D72A5E"/>
    <w:rsid w:val="00D81013"/>
    <w:rsid w:val="00D831BF"/>
    <w:rsid w:val="00D85963"/>
    <w:rsid w:val="00DA10CC"/>
    <w:rsid w:val="00DA1645"/>
    <w:rsid w:val="00DA7513"/>
    <w:rsid w:val="00DB4C17"/>
    <w:rsid w:val="00DC43DD"/>
    <w:rsid w:val="00DD50B4"/>
    <w:rsid w:val="00DE1154"/>
    <w:rsid w:val="00DE1382"/>
    <w:rsid w:val="00DE6514"/>
    <w:rsid w:val="00DF0508"/>
    <w:rsid w:val="00DF4E3D"/>
    <w:rsid w:val="00E10496"/>
    <w:rsid w:val="00E13DFC"/>
    <w:rsid w:val="00E2067D"/>
    <w:rsid w:val="00E22AEC"/>
    <w:rsid w:val="00E35785"/>
    <w:rsid w:val="00E54B7E"/>
    <w:rsid w:val="00E74152"/>
    <w:rsid w:val="00E74678"/>
    <w:rsid w:val="00E80782"/>
    <w:rsid w:val="00E83B55"/>
    <w:rsid w:val="00E85307"/>
    <w:rsid w:val="00E93C0F"/>
    <w:rsid w:val="00EB5B5C"/>
    <w:rsid w:val="00EC1C02"/>
    <w:rsid w:val="00EC7CEA"/>
    <w:rsid w:val="00ED6D22"/>
    <w:rsid w:val="00EE44CB"/>
    <w:rsid w:val="00F0082A"/>
    <w:rsid w:val="00F201DE"/>
    <w:rsid w:val="00F265D4"/>
    <w:rsid w:val="00F327B6"/>
    <w:rsid w:val="00F62BD0"/>
    <w:rsid w:val="00F803E2"/>
    <w:rsid w:val="00F8175C"/>
    <w:rsid w:val="00F82B12"/>
    <w:rsid w:val="00F8689A"/>
    <w:rsid w:val="00F929A6"/>
    <w:rsid w:val="00FA5955"/>
    <w:rsid w:val="00FB26C2"/>
    <w:rsid w:val="00FB4922"/>
    <w:rsid w:val="00FC3FEC"/>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EDAD0"/>
  <w15:chartTrackingRefBased/>
  <w15:docId w15:val="{4FBFA316-7EBC-4349-A8B0-052BEF404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8"/>
        <w:lang w:val="en-US" w:eastAsia="zh-TW"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96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96610"/>
    <w:rPr>
      <w:rFonts w:asciiTheme="majorHAnsi" w:eastAsiaTheme="majorEastAsia" w:hAnsiTheme="majorHAnsi" w:cstheme="majorBidi"/>
      <w:sz w:val="18"/>
      <w:szCs w:val="22"/>
    </w:rPr>
  </w:style>
  <w:style w:type="character" w:customStyle="1" w:styleId="a5">
    <w:name w:val="註解方塊文字 字元"/>
    <w:basedOn w:val="a0"/>
    <w:link w:val="a4"/>
    <w:uiPriority w:val="99"/>
    <w:semiHidden/>
    <w:rsid w:val="00B96610"/>
    <w:rPr>
      <w:rFonts w:asciiTheme="majorHAnsi" w:eastAsiaTheme="majorEastAsia" w:hAnsiTheme="majorHAnsi" w:cstheme="majorBidi"/>
      <w:sz w:val="18"/>
      <w:szCs w:val="22"/>
    </w:rPr>
  </w:style>
  <w:style w:type="paragraph" w:styleId="a6">
    <w:name w:val="header"/>
    <w:basedOn w:val="a"/>
    <w:link w:val="a7"/>
    <w:uiPriority w:val="99"/>
    <w:unhideWhenUsed/>
    <w:rsid w:val="00B52CCB"/>
    <w:pPr>
      <w:tabs>
        <w:tab w:val="center" w:pos="4153"/>
        <w:tab w:val="right" w:pos="8306"/>
      </w:tabs>
      <w:snapToGrid w:val="0"/>
    </w:pPr>
    <w:rPr>
      <w:sz w:val="20"/>
      <w:szCs w:val="25"/>
    </w:rPr>
  </w:style>
  <w:style w:type="character" w:customStyle="1" w:styleId="a7">
    <w:name w:val="頁首 字元"/>
    <w:basedOn w:val="a0"/>
    <w:link w:val="a6"/>
    <w:uiPriority w:val="99"/>
    <w:rsid w:val="00B52CCB"/>
    <w:rPr>
      <w:sz w:val="20"/>
      <w:szCs w:val="25"/>
    </w:rPr>
  </w:style>
  <w:style w:type="paragraph" w:styleId="a8">
    <w:name w:val="footer"/>
    <w:basedOn w:val="a"/>
    <w:link w:val="a9"/>
    <w:uiPriority w:val="99"/>
    <w:unhideWhenUsed/>
    <w:rsid w:val="00B52CCB"/>
    <w:pPr>
      <w:tabs>
        <w:tab w:val="center" w:pos="4153"/>
        <w:tab w:val="right" w:pos="8306"/>
      </w:tabs>
      <w:snapToGrid w:val="0"/>
    </w:pPr>
    <w:rPr>
      <w:sz w:val="20"/>
      <w:szCs w:val="25"/>
    </w:rPr>
  </w:style>
  <w:style w:type="character" w:customStyle="1" w:styleId="a9">
    <w:name w:val="頁尾 字元"/>
    <w:basedOn w:val="a0"/>
    <w:link w:val="a8"/>
    <w:uiPriority w:val="99"/>
    <w:rsid w:val="00B52CCB"/>
    <w:rPr>
      <w:sz w:val="20"/>
      <w:szCs w:val="25"/>
    </w:rPr>
  </w:style>
  <w:style w:type="paragraph" w:customStyle="1" w:styleId="TableParagraph">
    <w:name w:val="Table Paragraph"/>
    <w:basedOn w:val="a"/>
    <w:uiPriority w:val="1"/>
    <w:qFormat/>
    <w:rsid w:val="00262932"/>
    <w:pPr>
      <w:autoSpaceDE w:val="0"/>
      <w:autoSpaceDN w:val="0"/>
    </w:pPr>
    <w:rPr>
      <w:rFonts w:ascii="SimSun" w:eastAsia="SimSun" w:hAnsi="SimSun" w:cs="SimSun"/>
      <w:kern w:val="0"/>
      <w:sz w:val="22"/>
      <w:szCs w:val="22"/>
      <w:lang w:bidi="ar-SA"/>
    </w:rPr>
  </w:style>
  <w:style w:type="paragraph" w:styleId="2">
    <w:name w:val="Body Text 2"/>
    <w:basedOn w:val="a"/>
    <w:link w:val="20"/>
    <w:rsid w:val="00B74160"/>
    <w:pPr>
      <w:suppressAutoHyphens/>
      <w:jc w:val="both"/>
    </w:pPr>
    <w:rPr>
      <w:rFonts w:ascii="Times New Roman" w:eastAsia="新細明體" w:hAnsi="Times New Roman" w:cs="Times New Roman"/>
      <w:sz w:val="28"/>
      <w:szCs w:val="20"/>
      <w:lang w:bidi="ar-SA"/>
    </w:rPr>
  </w:style>
  <w:style w:type="character" w:customStyle="1" w:styleId="20">
    <w:name w:val="本文 2 字元"/>
    <w:basedOn w:val="a0"/>
    <w:link w:val="2"/>
    <w:rsid w:val="00B74160"/>
    <w:rPr>
      <w:rFonts w:ascii="Times New Roman" w:eastAsia="新細明體" w:hAnsi="Times New Roman" w:cs="Times New Roman"/>
      <w:sz w:val="28"/>
      <w:szCs w:val="20"/>
      <w:lang w:bidi="ar-SA"/>
    </w:rPr>
  </w:style>
  <w:style w:type="paragraph" w:styleId="aa">
    <w:name w:val="List Paragraph"/>
    <w:basedOn w:val="a"/>
    <w:uiPriority w:val="34"/>
    <w:qFormat/>
    <w:rsid w:val="00D26463"/>
    <w:pPr>
      <w:ind w:leftChars="200" w:left="480"/>
    </w:pPr>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2847</Words>
  <Characters>16231</Characters>
  <Application>Microsoft Office Word</Application>
  <DocSecurity>0</DocSecurity>
  <Lines>135</Lines>
  <Paragraphs>38</Paragraphs>
  <ScaleCrop>false</ScaleCrop>
  <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TA2-User</dc:creator>
  <cp:keywords/>
  <dc:description/>
  <cp:lastModifiedBy>賴以晴</cp:lastModifiedBy>
  <cp:revision>2</cp:revision>
  <dcterms:created xsi:type="dcterms:W3CDTF">2024-11-14T03:53:00Z</dcterms:created>
  <dcterms:modified xsi:type="dcterms:W3CDTF">2024-11-14T03:53:00Z</dcterms:modified>
</cp:coreProperties>
</file>